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77660" w14:textId="531E8F00" w:rsidR="00686E97" w:rsidRPr="00C761C9" w:rsidRDefault="00267759" w:rsidP="00A624B4">
      <w:pPr>
        <w:jc w:val="both"/>
        <w:rPr>
          <w:rFonts w:asciiTheme="majorHAnsi" w:hAnsiTheme="majorHAnsi"/>
          <w:b/>
        </w:rPr>
      </w:pPr>
      <w:r>
        <w:rPr>
          <w:rFonts w:asciiTheme="majorHAnsi" w:hAnsiTheme="majorHAnsi"/>
          <w:b/>
        </w:rPr>
        <w:t>4</w:t>
      </w:r>
      <w:r w:rsidR="00D2610E" w:rsidRPr="00C761C9">
        <w:rPr>
          <w:rFonts w:asciiTheme="majorHAnsi" w:hAnsiTheme="majorHAnsi"/>
          <w:b/>
        </w:rPr>
        <w:t xml:space="preserve">. </w:t>
      </w:r>
      <w:r w:rsidRPr="00267759">
        <w:rPr>
          <w:rFonts w:asciiTheme="majorHAnsi" w:hAnsiTheme="majorHAnsi"/>
          <w:b/>
        </w:rPr>
        <w:t>Peril Analysis from Independent Data</w:t>
      </w:r>
    </w:p>
    <w:p w14:paraId="2793EBB7" w14:textId="205775D2" w:rsidR="00267759" w:rsidRDefault="00267759" w:rsidP="00A624B4">
      <w:pPr>
        <w:jc w:val="both"/>
        <w:rPr>
          <w:rFonts w:asciiTheme="majorHAnsi" w:hAnsiTheme="majorHAnsi"/>
          <w:i/>
        </w:rPr>
      </w:pPr>
      <w:r>
        <w:rPr>
          <w:rFonts w:asciiTheme="majorHAnsi" w:hAnsiTheme="majorHAnsi"/>
          <w:i/>
        </w:rPr>
        <w:t>4</w:t>
      </w:r>
      <w:r w:rsidR="00700832" w:rsidRPr="00C761C9">
        <w:rPr>
          <w:rFonts w:asciiTheme="majorHAnsi" w:hAnsiTheme="majorHAnsi"/>
          <w:i/>
        </w:rPr>
        <w:t>.1</w:t>
      </w:r>
      <w:r>
        <w:rPr>
          <w:rFonts w:asciiTheme="majorHAnsi" w:hAnsiTheme="majorHAnsi"/>
          <w:i/>
        </w:rPr>
        <w:t>. Hail Analysis</w:t>
      </w:r>
    </w:p>
    <w:p w14:paraId="28068986" w14:textId="3FF92E2E" w:rsidR="00D969AB" w:rsidRDefault="00EF2DEB" w:rsidP="00A624B4">
      <w:pPr>
        <w:jc w:val="both"/>
        <w:rPr>
          <w:rFonts w:asciiTheme="majorHAnsi" w:hAnsiTheme="majorHAnsi"/>
          <w:sz w:val="22"/>
          <w:szCs w:val="22"/>
        </w:rPr>
      </w:pPr>
      <w:r>
        <w:rPr>
          <w:rFonts w:asciiTheme="majorHAnsi" w:hAnsiTheme="majorHAnsi"/>
          <w:sz w:val="22"/>
          <w:szCs w:val="22"/>
        </w:rPr>
        <w:t xml:space="preserve">The analysis of historical hail reports is problematic because of </w:t>
      </w:r>
      <w:r w:rsidR="000E7133">
        <w:rPr>
          <w:rFonts w:asciiTheme="majorHAnsi" w:hAnsiTheme="majorHAnsi"/>
          <w:sz w:val="22"/>
          <w:szCs w:val="22"/>
        </w:rPr>
        <w:t xml:space="preserve">reporting `biases from </w:t>
      </w:r>
      <w:r>
        <w:rPr>
          <w:rFonts w:asciiTheme="majorHAnsi" w:hAnsiTheme="majorHAnsi"/>
          <w:sz w:val="22"/>
          <w:szCs w:val="22"/>
        </w:rPr>
        <w:t xml:space="preserve">population density and changing technology over time that makes it easier to report hail now than in the past.   </w:t>
      </w:r>
      <w:r w:rsidR="00A77018">
        <w:rPr>
          <w:rFonts w:asciiTheme="majorHAnsi" w:hAnsiTheme="majorHAnsi"/>
          <w:sz w:val="22"/>
          <w:szCs w:val="22"/>
        </w:rPr>
        <w:t xml:space="preserve">For these reasons, we chose the hail database of </w:t>
      </w:r>
      <w:proofErr w:type="spellStart"/>
      <w:r w:rsidR="00A77018">
        <w:rPr>
          <w:rFonts w:asciiTheme="majorHAnsi" w:hAnsiTheme="majorHAnsi"/>
          <w:sz w:val="22"/>
          <w:szCs w:val="22"/>
        </w:rPr>
        <w:t>Changnon</w:t>
      </w:r>
      <w:proofErr w:type="spellEnd"/>
      <w:r w:rsidR="00C475C9">
        <w:rPr>
          <w:rFonts w:asciiTheme="majorHAnsi" w:hAnsiTheme="majorHAnsi"/>
          <w:sz w:val="22"/>
          <w:szCs w:val="22"/>
        </w:rPr>
        <w:t xml:space="preserve"> (2009) covering the period 1901</w:t>
      </w:r>
      <w:r w:rsidR="00A77018">
        <w:rPr>
          <w:rFonts w:asciiTheme="majorHAnsi" w:hAnsiTheme="majorHAnsi"/>
          <w:sz w:val="22"/>
          <w:szCs w:val="22"/>
        </w:rPr>
        <w:t xml:space="preserve"> -1994, to examine long term trends in hail.  The </w:t>
      </w:r>
      <w:proofErr w:type="spellStart"/>
      <w:r w:rsidR="00A77018">
        <w:rPr>
          <w:rFonts w:asciiTheme="majorHAnsi" w:hAnsiTheme="majorHAnsi"/>
          <w:sz w:val="22"/>
          <w:szCs w:val="22"/>
        </w:rPr>
        <w:t>Changnon</w:t>
      </w:r>
      <w:proofErr w:type="spellEnd"/>
      <w:r w:rsidR="00A77018">
        <w:rPr>
          <w:rFonts w:asciiTheme="majorHAnsi" w:hAnsiTheme="majorHAnsi"/>
          <w:sz w:val="22"/>
          <w:szCs w:val="22"/>
        </w:rPr>
        <w:t xml:space="preserve"> data base aggregates hail reports from ~1,100 stations in the US into the number of hail-days/month</w:t>
      </w:r>
      <w:r w:rsidR="00BC30AD">
        <w:rPr>
          <w:rFonts w:asciiTheme="majorHAnsi" w:hAnsiTheme="majorHAnsi"/>
          <w:sz w:val="22"/>
          <w:szCs w:val="22"/>
        </w:rPr>
        <w:t xml:space="preserve"> that</w:t>
      </w:r>
      <w:r w:rsidR="00A77018">
        <w:rPr>
          <w:rFonts w:asciiTheme="majorHAnsi" w:hAnsiTheme="majorHAnsi"/>
          <w:sz w:val="22"/>
          <w:szCs w:val="22"/>
        </w:rPr>
        <w:t xml:space="preserve"> are</w:t>
      </w:r>
      <w:r w:rsidR="00BC30AD">
        <w:rPr>
          <w:rFonts w:asciiTheme="majorHAnsi" w:hAnsiTheme="majorHAnsi"/>
          <w:sz w:val="22"/>
          <w:szCs w:val="22"/>
        </w:rPr>
        <w:t xml:space="preserve"> recorded</w:t>
      </w:r>
      <w:r w:rsidR="00A77018">
        <w:rPr>
          <w:rFonts w:asciiTheme="majorHAnsi" w:hAnsiTheme="majorHAnsi"/>
          <w:sz w:val="22"/>
          <w:szCs w:val="22"/>
        </w:rPr>
        <w:t xml:space="preserve"> at that location.</w:t>
      </w:r>
      <w:r w:rsidR="00C475C9">
        <w:rPr>
          <w:rFonts w:asciiTheme="majorHAnsi" w:hAnsiTheme="majorHAnsi"/>
          <w:sz w:val="22"/>
          <w:szCs w:val="22"/>
        </w:rPr>
        <w:t xml:space="preserve">  In order to reduce the change of sampling over time, only those first-order reporting stations that had a complete record </w:t>
      </w:r>
      <w:r w:rsidR="00493B2C">
        <w:rPr>
          <w:rFonts w:asciiTheme="majorHAnsi" w:hAnsiTheme="majorHAnsi"/>
          <w:sz w:val="22"/>
          <w:szCs w:val="22"/>
        </w:rPr>
        <w:t>from 1901 to 1994 were chosen.  (First-order reporting stations are those coincident with and operated by National Weather Service Offices.)  These selection criteria resulted in 80 stations for further analysis.</w:t>
      </w:r>
    </w:p>
    <w:p w14:paraId="556D8170" w14:textId="77777777" w:rsidR="00BC30AD" w:rsidRDefault="00BC30AD" w:rsidP="00A624B4">
      <w:pPr>
        <w:jc w:val="both"/>
        <w:rPr>
          <w:rFonts w:asciiTheme="majorHAnsi" w:hAnsiTheme="majorHAnsi"/>
          <w:sz w:val="22"/>
          <w:szCs w:val="22"/>
        </w:rPr>
      </w:pPr>
    </w:p>
    <w:p w14:paraId="650B80A6" w14:textId="3870EEBC" w:rsidR="00BC30AD" w:rsidRDefault="00F5318B" w:rsidP="00A624B4">
      <w:pPr>
        <w:jc w:val="both"/>
        <w:rPr>
          <w:rFonts w:asciiTheme="majorHAnsi" w:hAnsiTheme="majorHAnsi"/>
          <w:sz w:val="22"/>
          <w:szCs w:val="22"/>
        </w:rPr>
      </w:pPr>
      <w:r>
        <w:rPr>
          <w:rFonts w:asciiTheme="majorHAnsi" w:hAnsiTheme="majorHAnsi"/>
          <w:sz w:val="22"/>
          <w:szCs w:val="22"/>
        </w:rPr>
        <w:t xml:space="preserve">Figure 4.n shows that </w:t>
      </w:r>
      <w:r w:rsidR="00BC30AD">
        <w:rPr>
          <w:rFonts w:asciiTheme="majorHAnsi" w:hAnsiTheme="majorHAnsi"/>
          <w:sz w:val="22"/>
          <w:szCs w:val="22"/>
        </w:rPr>
        <w:t>he average number of days of hail per year experienced across the 80 selected stations is between 2-3 days/year.</w:t>
      </w:r>
      <w:r>
        <w:rPr>
          <w:rFonts w:asciiTheme="majorHAnsi" w:hAnsiTheme="majorHAnsi"/>
          <w:sz w:val="22"/>
          <w:szCs w:val="22"/>
        </w:rPr>
        <w:t xml:space="preserve">  Over the period 1901-1994, the year-to-year variation in the average is less than +/-1 day and the </w:t>
      </w:r>
      <w:proofErr w:type="gramStart"/>
      <w:r>
        <w:rPr>
          <w:rFonts w:asciiTheme="majorHAnsi" w:hAnsiTheme="majorHAnsi"/>
          <w:sz w:val="22"/>
          <w:szCs w:val="22"/>
        </w:rPr>
        <w:t>mean  value</w:t>
      </w:r>
      <w:proofErr w:type="gramEnd"/>
      <w:r>
        <w:rPr>
          <w:rFonts w:asciiTheme="majorHAnsi" w:hAnsiTheme="majorHAnsi"/>
          <w:sz w:val="22"/>
          <w:szCs w:val="22"/>
        </w:rPr>
        <w:t xml:space="preserve"> decreases slightly during the last 30 years of the record.  The </w:t>
      </w:r>
      <w:proofErr w:type="spellStart"/>
      <w:r>
        <w:rPr>
          <w:rFonts w:asciiTheme="majorHAnsi" w:hAnsiTheme="majorHAnsi"/>
          <w:sz w:val="22"/>
          <w:szCs w:val="22"/>
        </w:rPr>
        <w:t>decrase</w:t>
      </w:r>
      <w:proofErr w:type="spellEnd"/>
      <w:r>
        <w:rPr>
          <w:rFonts w:asciiTheme="majorHAnsi" w:hAnsiTheme="majorHAnsi"/>
          <w:sz w:val="22"/>
          <w:szCs w:val="22"/>
        </w:rPr>
        <w:t xml:space="preserve"> in the average number of hail days/year between the last to 30-year periods is 0.5 days and this difference is significant at a confidence level of more than 99%.</w:t>
      </w:r>
    </w:p>
    <w:p w14:paraId="564FC557" w14:textId="5F836AC0" w:rsidR="00EF2DEB" w:rsidRPr="00EF2DEB" w:rsidRDefault="00D969AB" w:rsidP="00A624B4">
      <w:pPr>
        <w:jc w:val="both"/>
        <w:rPr>
          <w:rFonts w:asciiTheme="majorHAnsi" w:hAnsiTheme="majorHAnsi"/>
          <w:sz w:val="22"/>
          <w:szCs w:val="22"/>
        </w:rPr>
      </w:pPr>
      <w:r>
        <w:rPr>
          <w:rFonts w:asciiTheme="majorHAnsi" w:hAnsiTheme="majorHAnsi"/>
          <w:noProof/>
          <w:sz w:val="22"/>
          <w:szCs w:val="22"/>
          <w:lang w:eastAsia="en-US"/>
        </w:rPr>
        <w:drawing>
          <wp:inline distT="0" distB="0" distL="0" distR="0" wp14:anchorId="6A150FB5" wp14:editId="750EB1C4">
            <wp:extent cx="5943600" cy="2973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_state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973705"/>
                    </a:xfrm>
                    <a:prstGeom prst="rect">
                      <a:avLst/>
                    </a:prstGeom>
                  </pic:spPr>
                </pic:pic>
              </a:graphicData>
            </a:graphic>
          </wp:inline>
        </w:drawing>
      </w:r>
      <w:r w:rsidR="00A77018">
        <w:rPr>
          <w:rFonts w:asciiTheme="majorHAnsi" w:hAnsiTheme="majorHAnsi"/>
          <w:sz w:val="22"/>
          <w:szCs w:val="22"/>
        </w:rPr>
        <w:t xml:space="preserve"> </w:t>
      </w:r>
    </w:p>
    <w:p w14:paraId="3B163C40" w14:textId="2D0B88E2" w:rsidR="00267759" w:rsidRDefault="000E7133" w:rsidP="00A624B4">
      <w:pPr>
        <w:jc w:val="both"/>
        <w:rPr>
          <w:rFonts w:asciiTheme="majorHAnsi" w:hAnsiTheme="majorHAnsi"/>
          <w:sz w:val="22"/>
          <w:szCs w:val="22"/>
        </w:rPr>
      </w:pPr>
      <w:r>
        <w:rPr>
          <w:rFonts w:asciiTheme="majorHAnsi" w:hAnsiTheme="majorHAnsi"/>
          <w:sz w:val="22"/>
          <w:szCs w:val="22"/>
        </w:rPr>
        <w:t xml:space="preserve">Figure </w:t>
      </w:r>
      <w:proofErr w:type="gramStart"/>
      <w:r>
        <w:rPr>
          <w:rFonts w:asciiTheme="majorHAnsi" w:hAnsiTheme="majorHAnsi"/>
          <w:sz w:val="22"/>
          <w:szCs w:val="22"/>
        </w:rPr>
        <w:t>4.n</w:t>
      </w:r>
      <w:r w:rsidR="00D51FC2">
        <w:rPr>
          <w:rFonts w:asciiTheme="majorHAnsi" w:hAnsiTheme="majorHAnsi"/>
          <w:sz w:val="22"/>
          <w:szCs w:val="22"/>
        </w:rPr>
        <w:t xml:space="preserve">  Average</w:t>
      </w:r>
      <w:proofErr w:type="gramEnd"/>
      <w:r w:rsidR="00D51FC2">
        <w:rPr>
          <w:rFonts w:asciiTheme="majorHAnsi" w:hAnsiTheme="majorHAnsi"/>
          <w:sz w:val="22"/>
          <w:szCs w:val="22"/>
        </w:rPr>
        <w:t xml:space="preserve"> number of hail days per year (</w:t>
      </w:r>
      <w:r w:rsidR="00454755">
        <w:rPr>
          <w:rFonts w:asciiTheme="majorHAnsi" w:hAnsiTheme="majorHAnsi"/>
          <w:sz w:val="22"/>
          <w:szCs w:val="22"/>
        </w:rPr>
        <w:t xml:space="preserve">red line, </w:t>
      </w:r>
      <w:r w:rsidR="00D51FC2">
        <w:rPr>
          <w:rFonts w:asciiTheme="majorHAnsi" w:hAnsiTheme="majorHAnsi"/>
          <w:sz w:val="22"/>
          <w:szCs w:val="22"/>
        </w:rPr>
        <w:t>left axis) at 80 stations (</w:t>
      </w:r>
      <w:r w:rsidR="00454755">
        <w:rPr>
          <w:rFonts w:asciiTheme="majorHAnsi" w:hAnsiTheme="majorHAnsi"/>
          <w:sz w:val="22"/>
          <w:szCs w:val="22"/>
        </w:rPr>
        <w:t xml:space="preserve">gray shading, </w:t>
      </w:r>
      <w:r w:rsidR="00D51FC2">
        <w:rPr>
          <w:rFonts w:asciiTheme="majorHAnsi" w:hAnsiTheme="majorHAnsi"/>
          <w:sz w:val="22"/>
          <w:szCs w:val="22"/>
        </w:rPr>
        <w:t xml:space="preserve">right axis) for the length of the </w:t>
      </w:r>
      <w:proofErr w:type="spellStart"/>
      <w:r w:rsidR="00D51FC2">
        <w:rPr>
          <w:rFonts w:asciiTheme="majorHAnsi" w:hAnsiTheme="majorHAnsi"/>
          <w:sz w:val="22"/>
          <w:szCs w:val="22"/>
        </w:rPr>
        <w:t>Changnon</w:t>
      </w:r>
      <w:proofErr w:type="spellEnd"/>
      <w:r w:rsidR="00D51FC2">
        <w:rPr>
          <w:rFonts w:asciiTheme="majorHAnsi" w:hAnsiTheme="majorHAnsi"/>
          <w:sz w:val="22"/>
          <w:szCs w:val="22"/>
        </w:rPr>
        <w:t xml:space="preserve"> hail data base, 1901 – 1994 (bottom axis).  Mean values for the last two 30-year periods are shown as horizontal green lines.</w:t>
      </w:r>
      <w:r w:rsidR="007F2677">
        <w:rPr>
          <w:rFonts w:asciiTheme="majorHAnsi" w:hAnsiTheme="majorHAnsi"/>
          <w:sz w:val="22"/>
          <w:szCs w:val="22"/>
        </w:rPr>
        <w:t xml:space="preserve"> A </w:t>
      </w:r>
      <w:proofErr w:type="gramStart"/>
      <w:r w:rsidR="007F2677">
        <w:rPr>
          <w:rFonts w:asciiTheme="majorHAnsi" w:hAnsiTheme="majorHAnsi"/>
          <w:sz w:val="22"/>
          <w:szCs w:val="22"/>
        </w:rPr>
        <w:t>best fit</w:t>
      </w:r>
      <w:proofErr w:type="gramEnd"/>
      <w:r w:rsidR="007F2677">
        <w:rPr>
          <w:rFonts w:asciiTheme="majorHAnsi" w:hAnsiTheme="majorHAnsi"/>
          <w:sz w:val="22"/>
          <w:szCs w:val="22"/>
        </w:rPr>
        <w:t xml:space="preserve"> linear trend line is also fit through the last two 30-year periods</w:t>
      </w:r>
      <w:r w:rsidR="003A00E0">
        <w:rPr>
          <w:rFonts w:asciiTheme="majorHAnsi" w:hAnsiTheme="majorHAnsi"/>
          <w:sz w:val="22"/>
          <w:szCs w:val="22"/>
        </w:rPr>
        <w:t xml:space="preserve"> (dashed green)</w:t>
      </w:r>
      <w:r w:rsidR="007F2677">
        <w:rPr>
          <w:rFonts w:asciiTheme="majorHAnsi" w:hAnsiTheme="majorHAnsi"/>
          <w:sz w:val="22"/>
          <w:szCs w:val="22"/>
        </w:rPr>
        <w:t>.</w:t>
      </w:r>
    </w:p>
    <w:p w14:paraId="4FC6B579" w14:textId="77777777" w:rsidR="00D969AB" w:rsidRDefault="00D969AB" w:rsidP="00A624B4">
      <w:pPr>
        <w:jc w:val="both"/>
        <w:rPr>
          <w:rFonts w:asciiTheme="majorHAnsi" w:hAnsiTheme="majorHAnsi"/>
          <w:sz w:val="22"/>
          <w:szCs w:val="22"/>
        </w:rPr>
      </w:pPr>
    </w:p>
    <w:p w14:paraId="6EFABF4C" w14:textId="53EAB354" w:rsidR="00D969AB" w:rsidRPr="00D969AB" w:rsidRDefault="00D969AB" w:rsidP="00A624B4">
      <w:pPr>
        <w:jc w:val="both"/>
        <w:rPr>
          <w:rFonts w:asciiTheme="majorHAnsi" w:hAnsiTheme="majorHAnsi"/>
          <w:sz w:val="22"/>
          <w:szCs w:val="22"/>
        </w:rPr>
      </w:pPr>
      <w:r>
        <w:rPr>
          <w:rFonts w:asciiTheme="majorHAnsi" w:hAnsiTheme="majorHAnsi"/>
          <w:noProof/>
          <w:sz w:val="22"/>
          <w:szCs w:val="22"/>
          <w:lang w:eastAsia="en-US"/>
        </w:rPr>
        <w:lastRenderedPageBreak/>
        <w:drawing>
          <wp:inline distT="0" distB="0" distL="0" distR="0" wp14:anchorId="6DEE70D5" wp14:editId="0E01BD3F">
            <wp:extent cx="4173855" cy="3191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sus-regions.tiff"/>
                    <pic:cNvPicPr/>
                  </pic:nvPicPr>
                  <pic:blipFill>
                    <a:blip r:embed="rId10">
                      <a:extLst>
                        <a:ext uri="{28A0092B-C50C-407E-A947-70E740481C1C}">
                          <a14:useLocalDpi xmlns:a14="http://schemas.microsoft.com/office/drawing/2010/main" val="0"/>
                        </a:ext>
                      </a:extLst>
                    </a:blip>
                    <a:stretch>
                      <a:fillRect/>
                    </a:stretch>
                  </pic:blipFill>
                  <pic:spPr>
                    <a:xfrm>
                      <a:off x="0" y="0"/>
                      <a:ext cx="4173855" cy="3191510"/>
                    </a:xfrm>
                    <a:prstGeom prst="rect">
                      <a:avLst/>
                    </a:prstGeom>
                  </pic:spPr>
                </pic:pic>
              </a:graphicData>
            </a:graphic>
          </wp:inline>
        </w:drawing>
      </w:r>
    </w:p>
    <w:p w14:paraId="752A1172" w14:textId="77777777" w:rsidR="00EF2DEB" w:rsidRDefault="00EF2DEB" w:rsidP="00A624B4">
      <w:pPr>
        <w:jc w:val="both"/>
        <w:rPr>
          <w:rFonts w:asciiTheme="majorHAnsi" w:hAnsiTheme="majorHAnsi"/>
          <w:i/>
        </w:rPr>
      </w:pPr>
    </w:p>
    <w:p w14:paraId="208975A7" w14:textId="3B2E98D9" w:rsidR="00D969AB" w:rsidRDefault="00D969AB" w:rsidP="00A624B4">
      <w:pPr>
        <w:jc w:val="both"/>
        <w:rPr>
          <w:rFonts w:asciiTheme="majorHAnsi" w:hAnsiTheme="majorHAnsi"/>
          <w:sz w:val="22"/>
          <w:szCs w:val="22"/>
        </w:rPr>
      </w:pPr>
      <w:r w:rsidRPr="00D969AB">
        <w:rPr>
          <w:rFonts w:asciiTheme="majorHAnsi" w:hAnsiTheme="majorHAnsi"/>
          <w:sz w:val="22"/>
          <w:szCs w:val="22"/>
        </w:rPr>
        <w:t>Figure 4.n+</w:t>
      </w:r>
      <w:proofErr w:type="gramStart"/>
      <w:r w:rsidRPr="00D969AB">
        <w:rPr>
          <w:rFonts w:asciiTheme="majorHAnsi" w:hAnsiTheme="majorHAnsi"/>
          <w:sz w:val="22"/>
          <w:szCs w:val="22"/>
        </w:rPr>
        <w:t>1</w:t>
      </w:r>
      <w:r w:rsidR="006B6C77">
        <w:rPr>
          <w:rFonts w:asciiTheme="majorHAnsi" w:hAnsiTheme="majorHAnsi"/>
          <w:sz w:val="22"/>
          <w:szCs w:val="22"/>
        </w:rPr>
        <w:t xml:space="preserve">  Definition</w:t>
      </w:r>
      <w:proofErr w:type="gramEnd"/>
      <w:r w:rsidR="006B6C77">
        <w:rPr>
          <w:rFonts w:asciiTheme="majorHAnsi" w:hAnsiTheme="majorHAnsi"/>
          <w:sz w:val="22"/>
          <w:szCs w:val="22"/>
        </w:rPr>
        <w:t xml:space="preserve"> of the states included in each of four US regions used to examine the regional behavior of hail-days from the </w:t>
      </w:r>
      <w:proofErr w:type="spellStart"/>
      <w:r w:rsidR="006B6C77">
        <w:rPr>
          <w:rFonts w:asciiTheme="majorHAnsi" w:hAnsiTheme="majorHAnsi"/>
          <w:sz w:val="22"/>
          <w:szCs w:val="22"/>
        </w:rPr>
        <w:t>Changnon</w:t>
      </w:r>
      <w:proofErr w:type="spellEnd"/>
      <w:r w:rsidR="006B6C77">
        <w:rPr>
          <w:rFonts w:asciiTheme="majorHAnsi" w:hAnsiTheme="majorHAnsi"/>
          <w:sz w:val="22"/>
          <w:szCs w:val="22"/>
        </w:rPr>
        <w:t xml:space="preserve"> data set.</w:t>
      </w:r>
    </w:p>
    <w:p w14:paraId="5BF8DF95" w14:textId="77777777" w:rsidR="009413A7" w:rsidRDefault="009413A7" w:rsidP="00A624B4">
      <w:pPr>
        <w:jc w:val="both"/>
        <w:rPr>
          <w:rFonts w:asciiTheme="majorHAnsi" w:hAnsiTheme="majorHAnsi"/>
          <w:sz w:val="22"/>
          <w:szCs w:val="22"/>
        </w:rPr>
      </w:pPr>
    </w:p>
    <w:p w14:paraId="03FC2868" w14:textId="77777777" w:rsidR="009413A7" w:rsidRDefault="009413A7" w:rsidP="009413A7">
      <w:pPr>
        <w:jc w:val="both"/>
        <w:rPr>
          <w:rFonts w:asciiTheme="majorHAnsi" w:hAnsiTheme="majorHAnsi"/>
          <w:sz w:val="22"/>
          <w:szCs w:val="22"/>
        </w:rPr>
      </w:pPr>
      <w:r>
        <w:rPr>
          <w:rFonts w:asciiTheme="majorHAnsi" w:hAnsiTheme="majorHAnsi"/>
          <w:sz w:val="22"/>
          <w:szCs w:val="22"/>
        </w:rPr>
        <w:t xml:space="preserve">The analysis is further broken down into four US regions.  See Fig. 4.n+1 for the definition of the regions.  Figures 4.n+2 and 4.n+3 are the same as Figure 4.n, but for the four, defined regions of the US.  Each of the four regions show a modest decrease in the average number of hail-days per year over the last 30 years of the record, compared to the prior </w:t>
      </w:r>
      <w:proofErr w:type="gramStart"/>
      <w:r>
        <w:rPr>
          <w:rFonts w:asciiTheme="majorHAnsi" w:hAnsiTheme="majorHAnsi"/>
          <w:sz w:val="22"/>
          <w:szCs w:val="22"/>
        </w:rPr>
        <w:t>30 year</w:t>
      </w:r>
      <w:proofErr w:type="gramEnd"/>
      <w:r>
        <w:rPr>
          <w:rFonts w:asciiTheme="majorHAnsi" w:hAnsiTheme="majorHAnsi"/>
          <w:sz w:val="22"/>
          <w:szCs w:val="22"/>
        </w:rPr>
        <w:t xml:space="preserve"> period.  All of the decreases are significant within a confidence level greater than 99%.</w:t>
      </w:r>
    </w:p>
    <w:p w14:paraId="7BA6D8BF" w14:textId="77777777" w:rsidR="009413A7" w:rsidRDefault="009413A7" w:rsidP="009413A7">
      <w:pPr>
        <w:jc w:val="both"/>
        <w:rPr>
          <w:rFonts w:asciiTheme="majorHAnsi" w:hAnsiTheme="majorHAnsi"/>
          <w:sz w:val="22"/>
          <w:szCs w:val="22"/>
        </w:rPr>
      </w:pPr>
    </w:p>
    <w:p w14:paraId="4AD615B7" w14:textId="69A57263" w:rsidR="009413A7" w:rsidRDefault="009413A7" w:rsidP="009413A7">
      <w:pPr>
        <w:jc w:val="both"/>
        <w:rPr>
          <w:rFonts w:asciiTheme="majorHAnsi" w:hAnsiTheme="majorHAnsi"/>
          <w:sz w:val="22"/>
          <w:szCs w:val="22"/>
        </w:rPr>
      </w:pPr>
      <w:r>
        <w:rPr>
          <w:rFonts w:asciiTheme="majorHAnsi" w:hAnsiTheme="majorHAnsi"/>
          <w:sz w:val="22"/>
          <w:szCs w:val="22"/>
        </w:rPr>
        <w:t xml:space="preserve">The decreases in average number of hail days for all regions and the decrease in year-to-year variance in the last 30 years of the </w:t>
      </w:r>
      <w:proofErr w:type="spellStart"/>
      <w:r>
        <w:rPr>
          <w:rFonts w:asciiTheme="majorHAnsi" w:hAnsiTheme="majorHAnsi"/>
          <w:sz w:val="22"/>
          <w:szCs w:val="22"/>
        </w:rPr>
        <w:t>Changnon</w:t>
      </w:r>
      <w:proofErr w:type="spellEnd"/>
      <w:r>
        <w:rPr>
          <w:rFonts w:asciiTheme="majorHAnsi" w:hAnsiTheme="majorHAnsi"/>
          <w:sz w:val="22"/>
          <w:szCs w:val="22"/>
        </w:rPr>
        <w:t xml:space="preserve"> record are consistent with the idea of fewer overall severe weather days.  The northeast drop from 1.32 to 0.69 days/year is the largest fractional decrease of any region.  The decrease during the 1965-1994 period is consistent with a declining trend in hail environments detected during the same period (cf. Fig.3.5b).  </w:t>
      </w:r>
      <w:r w:rsidR="006444F7">
        <w:rPr>
          <w:rFonts w:asciiTheme="majorHAnsi" w:hAnsiTheme="majorHAnsi"/>
          <w:sz w:val="22"/>
          <w:szCs w:val="22"/>
        </w:rPr>
        <w:t>The large year-</w:t>
      </w:r>
      <w:r>
        <w:rPr>
          <w:rFonts w:asciiTheme="majorHAnsi" w:hAnsiTheme="majorHAnsi"/>
          <w:sz w:val="22"/>
          <w:szCs w:val="22"/>
        </w:rPr>
        <w:t>t</w:t>
      </w:r>
      <w:r w:rsidR="006444F7">
        <w:rPr>
          <w:rFonts w:asciiTheme="majorHAnsi" w:hAnsiTheme="majorHAnsi"/>
          <w:sz w:val="22"/>
          <w:szCs w:val="22"/>
        </w:rPr>
        <w:t>o-</w:t>
      </w:r>
      <w:r>
        <w:rPr>
          <w:rFonts w:asciiTheme="majorHAnsi" w:hAnsiTheme="majorHAnsi"/>
          <w:sz w:val="22"/>
          <w:szCs w:val="22"/>
        </w:rPr>
        <w:t xml:space="preserve">year variability in the US regional hail environments </w:t>
      </w:r>
      <w:r w:rsidR="006444F7">
        <w:rPr>
          <w:rFonts w:asciiTheme="majorHAnsi" w:hAnsiTheme="majorHAnsi"/>
          <w:sz w:val="22"/>
          <w:szCs w:val="22"/>
        </w:rPr>
        <w:t>(cf. Fig</w:t>
      </w:r>
      <w:proofErr w:type="gramStart"/>
      <w:r w:rsidR="006444F7">
        <w:rPr>
          <w:rFonts w:asciiTheme="majorHAnsi" w:hAnsiTheme="majorHAnsi"/>
          <w:sz w:val="22"/>
          <w:szCs w:val="22"/>
        </w:rPr>
        <w:t>,.</w:t>
      </w:r>
      <w:proofErr w:type="gramEnd"/>
      <w:r w:rsidR="006444F7">
        <w:rPr>
          <w:rFonts w:asciiTheme="majorHAnsi" w:hAnsiTheme="majorHAnsi"/>
          <w:sz w:val="22"/>
          <w:szCs w:val="22"/>
        </w:rPr>
        <w:t xml:space="preserve"> 3.4) </w:t>
      </w:r>
      <w:r>
        <w:rPr>
          <w:rFonts w:asciiTheme="majorHAnsi" w:hAnsiTheme="majorHAnsi"/>
          <w:sz w:val="22"/>
          <w:szCs w:val="22"/>
        </w:rPr>
        <w:t xml:space="preserve">prevents </w:t>
      </w:r>
      <w:r w:rsidR="006444F7">
        <w:rPr>
          <w:rFonts w:asciiTheme="majorHAnsi" w:hAnsiTheme="majorHAnsi"/>
          <w:sz w:val="22"/>
          <w:szCs w:val="22"/>
        </w:rPr>
        <w:t xml:space="preserve">a clear comparison between the </w:t>
      </w:r>
      <w:proofErr w:type="spellStart"/>
      <w:r w:rsidR="006444F7">
        <w:rPr>
          <w:rFonts w:asciiTheme="majorHAnsi" w:hAnsiTheme="majorHAnsi"/>
          <w:sz w:val="22"/>
          <w:szCs w:val="22"/>
        </w:rPr>
        <w:t>Changnon</w:t>
      </w:r>
      <w:proofErr w:type="spellEnd"/>
      <w:r w:rsidR="006444F7">
        <w:rPr>
          <w:rFonts w:asciiTheme="majorHAnsi" w:hAnsiTheme="majorHAnsi"/>
          <w:sz w:val="22"/>
          <w:szCs w:val="22"/>
        </w:rPr>
        <w:t xml:space="preserve"> results and other regions.</w:t>
      </w:r>
      <w:bookmarkStart w:id="0" w:name="_GoBack"/>
      <w:bookmarkEnd w:id="0"/>
    </w:p>
    <w:p w14:paraId="75A632EA" w14:textId="77777777" w:rsidR="009413A7" w:rsidRPr="00DC6D82" w:rsidRDefault="009413A7" w:rsidP="00A624B4">
      <w:pPr>
        <w:jc w:val="both"/>
        <w:rPr>
          <w:rFonts w:asciiTheme="majorHAnsi" w:hAnsiTheme="majorHAnsi"/>
          <w:sz w:val="22"/>
          <w:szCs w:val="22"/>
        </w:rPr>
      </w:pPr>
    </w:p>
    <w:p w14:paraId="06E9381E" w14:textId="1C15D871" w:rsidR="00DC6D82" w:rsidRDefault="00DC6D82" w:rsidP="00A624B4">
      <w:pPr>
        <w:jc w:val="both"/>
        <w:rPr>
          <w:rFonts w:asciiTheme="majorHAnsi" w:hAnsiTheme="majorHAnsi"/>
          <w:i/>
        </w:rPr>
      </w:pPr>
      <w:r w:rsidRPr="00DC6D82">
        <w:rPr>
          <w:rFonts w:asciiTheme="majorHAnsi" w:hAnsiTheme="majorHAnsi"/>
          <w:i/>
        </w:rPr>
        <w:lastRenderedPageBreak/>
        <w:drawing>
          <wp:inline distT="0" distB="0" distL="0" distR="0" wp14:anchorId="0D1D2EB0" wp14:editId="3394BBED">
            <wp:extent cx="5182819" cy="25932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west_region.jpg"/>
                    <pic:cNvPicPr/>
                  </pic:nvPicPr>
                  <pic:blipFill>
                    <a:blip r:embed="rId11">
                      <a:extLst>
                        <a:ext uri="{28A0092B-C50C-407E-A947-70E740481C1C}">
                          <a14:useLocalDpi xmlns:a14="http://schemas.microsoft.com/office/drawing/2010/main" val="0"/>
                        </a:ext>
                      </a:extLst>
                    </a:blip>
                    <a:stretch>
                      <a:fillRect/>
                    </a:stretch>
                  </pic:blipFill>
                  <pic:spPr>
                    <a:xfrm>
                      <a:off x="0" y="0"/>
                      <a:ext cx="5182819" cy="2593238"/>
                    </a:xfrm>
                    <a:prstGeom prst="rect">
                      <a:avLst/>
                    </a:prstGeom>
                  </pic:spPr>
                </pic:pic>
              </a:graphicData>
            </a:graphic>
          </wp:inline>
        </w:drawing>
      </w:r>
      <w:r w:rsidRPr="00DC6D82">
        <w:rPr>
          <w:rFonts w:asciiTheme="majorHAnsi" w:hAnsiTheme="majorHAnsi"/>
          <w:i/>
        </w:rPr>
        <w:drawing>
          <wp:inline distT="0" distB="0" distL="0" distR="0" wp14:anchorId="67691481" wp14:editId="45447EFE">
            <wp:extent cx="5182819" cy="2593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_region.jpg"/>
                    <pic:cNvPicPr/>
                  </pic:nvPicPr>
                  <pic:blipFill>
                    <a:blip r:embed="rId12">
                      <a:extLst>
                        <a:ext uri="{28A0092B-C50C-407E-A947-70E740481C1C}">
                          <a14:useLocalDpi xmlns:a14="http://schemas.microsoft.com/office/drawing/2010/main" val="0"/>
                        </a:ext>
                      </a:extLst>
                    </a:blip>
                    <a:stretch>
                      <a:fillRect/>
                    </a:stretch>
                  </pic:blipFill>
                  <pic:spPr>
                    <a:xfrm>
                      <a:off x="0" y="0"/>
                      <a:ext cx="5182819" cy="2593238"/>
                    </a:xfrm>
                    <a:prstGeom prst="rect">
                      <a:avLst/>
                    </a:prstGeom>
                  </pic:spPr>
                </pic:pic>
              </a:graphicData>
            </a:graphic>
          </wp:inline>
        </w:drawing>
      </w:r>
    </w:p>
    <w:p w14:paraId="5F164F3F" w14:textId="3AEE8620" w:rsidR="00DC6D82" w:rsidRPr="00D969AB" w:rsidRDefault="00DC6D82" w:rsidP="00DC6D82">
      <w:pPr>
        <w:jc w:val="both"/>
        <w:rPr>
          <w:rFonts w:asciiTheme="majorHAnsi" w:hAnsiTheme="majorHAnsi"/>
          <w:sz w:val="22"/>
          <w:szCs w:val="22"/>
        </w:rPr>
      </w:pPr>
      <w:r>
        <w:rPr>
          <w:rFonts w:asciiTheme="majorHAnsi" w:hAnsiTheme="majorHAnsi"/>
          <w:sz w:val="22"/>
          <w:szCs w:val="22"/>
        </w:rPr>
        <w:t>Figure 4.n+2</w:t>
      </w:r>
      <w:r w:rsidR="00F5318B">
        <w:rPr>
          <w:rFonts w:asciiTheme="majorHAnsi" w:hAnsiTheme="majorHAnsi"/>
          <w:sz w:val="22"/>
          <w:szCs w:val="22"/>
        </w:rPr>
        <w:t xml:space="preserve"> As in figure 4.n, but for the Midwest and West regions only.</w:t>
      </w:r>
    </w:p>
    <w:p w14:paraId="78BF172C" w14:textId="6807C2E3" w:rsidR="00DC6D82" w:rsidRDefault="00DC6D82" w:rsidP="00A624B4">
      <w:pPr>
        <w:jc w:val="both"/>
        <w:rPr>
          <w:rFonts w:asciiTheme="majorHAnsi" w:hAnsiTheme="majorHAnsi"/>
          <w:i/>
        </w:rPr>
      </w:pPr>
      <w:r w:rsidRPr="00DC6D82">
        <w:rPr>
          <w:rFonts w:asciiTheme="majorHAnsi" w:hAnsiTheme="majorHAnsi"/>
          <w:i/>
        </w:rPr>
        <w:lastRenderedPageBreak/>
        <w:drawing>
          <wp:inline distT="0" distB="0" distL="0" distR="0" wp14:anchorId="651DDD8C" wp14:editId="0CCC7E4C">
            <wp:extent cx="5182819" cy="25932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ast_region.jpg"/>
                    <pic:cNvPicPr/>
                  </pic:nvPicPr>
                  <pic:blipFill>
                    <a:blip r:embed="rId13">
                      <a:extLst>
                        <a:ext uri="{28A0092B-C50C-407E-A947-70E740481C1C}">
                          <a14:useLocalDpi xmlns:a14="http://schemas.microsoft.com/office/drawing/2010/main" val="0"/>
                        </a:ext>
                      </a:extLst>
                    </a:blip>
                    <a:stretch>
                      <a:fillRect/>
                    </a:stretch>
                  </pic:blipFill>
                  <pic:spPr>
                    <a:xfrm>
                      <a:off x="0" y="0"/>
                      <a:ext cx="5182819" cy="2593238"/>
                    </a:xfrm>
                    <a:prstGeom prst="rect">
                      <a:avLst/>
                    </a:prstGeom>
                  </pic:spPr>
                </pic:pic>
              </a:graphicData>
            </a:graphic>
          </wp:inline>
        </w:drawing>
      </w:r>
      <w:r w:rsidR="003F243E" w:rsidRPr="003F243E">
        <w:rPr>
          <w:rFonts w:asciiTheme="majorHAnsi" w:hAnsiTheme="majorHAnsi"/>
          <w:i/>
        </w:rPr>
        <w:drawing>
          <wp:inline distT="0" distB="0" distL="0" distR="0" wp14:anchorId="6CD704B3" wp14:editId="58F60D14">
            <wp:extent cx="5182819" cy="2593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region.jpg"/>
                    <pic:cNvPicPr/>
                  </pic:nvPicPr>
                  <pic:blipFill>
                    <a:blip r:embed="rId14">
                      <a:extLst>
                        <a:ext uri="{28A0092B-C50C-407E-A947-70E740481C1C}">
                          <a14:useLocalDpi xmlns:a14="http://schemas.microsoft.com/office/drawing/2010/main" val="0"/>
                        </a:ext>
                      </a:extLst>
                    </a:blip>
                    <a:stretch>
                      <a:fillRect/>
                    </a:stretch>
                  </pic:blipFill>
                  <pic:spPr>
                    <a:xfrm>
                      <a:off x="0" y="0"/>
                      <a:ext cx="5182819" cy="2593238"/>
                    </a:xfrm>
                    <a:prstGeom prst="rect">
                      <a:avLst/>
                    </a:prstGeom>
                  </pic:spPr>
                </pic:pic>
              </a:graphicData>
            </a:graphic>
          </wp:inline>
        </w:drawing>
      </w:r>
    </w:p>
    <w:p w14:paraId="710793D3" w14:textId="6B9C59AE" w:rsidR="00D969AB" w:rsidRPr="00D969AB" w:rsidRDefault="00DC6D82" w:rsidP="00A624B4">
      <w:pPr>
        <w:jc w:val="both"/>
        <w:rPr>
          <w:rFonts w:asciiTheme="majorHAnsi" w:hAnsiTheme="majorHAnsi"/>
          <w:sz w:val="22"/>
          <w:szCs w:val="22"/>
        </w:rPr>
      </w:pPr>
      <w:r>
        <w:rPr>
          <w:rFonts w:asciiTheme="majorHAnsi" w:hAnsiTheme="majorHAnsi"/>
          <w:sz w:val="22"/>
          <w:szCs w:val="22"/>
        </w:rPr>
        <w:t>Figure 4.n+</w:t>
      </w:r>
      <w:proofErr w:type="gramStart"/>
      <w:r>
        <w:rPr>
          <w:rFonts w:asciiTheme="majorHAnsi" w:hAnsiTheme="majorHAnsi"/>
          <w:sz w:val="22"/>
          <w:szCs w:val="22"/>
        </w:rPr>
        <w:t>3</w:t>
      </w:r>
      <w:r w:rsidR="00F5318B">
        <w:rPr>
          <w:rFonts w:asciiTheme="majorHAnsi" w:hAnsiTheme="majorHAnsi"/>
          <w:sz w:val="22"/>
          <w:szCs w:val="22"/>
        </w:rPr>
        <w:t xml:space="preserve">  As</w:t>
      </w:r>
      <w:proofErr w:type="gramEnd"/>
      <w:r w:rsidR="00F5318B">
        <w:rPr>
          <w:rFonts w:asciiTheme="majorHAnsi" w:hAnsiTheme="majorHAnsi"/>
          <w:sz w:val="22"/>
          <w:szCs w:val="22"/>
        </w:rPr>
        <w:t xml:space="preserve"> in Figure 4.n, but for the Northeast and South regions.</w:t>
      </w:r>
    </w:p>
    <w:p w14:paraId="4ABF0A5A" w14:textId="77777777" w:rsidR="00D969AB" w:rsidRDefault="00D969AB" w:rsidP="00A624B4">
      <w:pPr>
        <w:jc w:val="both"/>
        <w:rPr>
          <w:rFonts w:asciiTheme="majorHAnsi" w:hAnsiTheme="majorHAnsi"/>
          <w:i/>
        </w:rPr>
      </w:pPr>
    </w:p>
    <w:p w14:paraId="0E0EFFFE" w14:textId="707F6ED7" w:rsidR="00267759" w:rsidRPr="00C761C9" w:rsidRDefault="00267759" w:rsidP="00A624B4">
      <w:pPr>
        <w:jc w:val="both"/>
        <w:rPr>
          <w:rFonts w:asciiTheme="majorHAnsi" w:hAnsiTheme="majorHAnsi"/>
          <w:i/>
        </w:rPr>
      </w:pPr>
      <w:r>
        <w:rPr>
          <w:rFonts w:asciiTheme="majorHAnsi" w:hAnsiTheme="majorHAnsi"/>
          <w:i/>
        </w:rPr>
        <w:t>4.2. Tornado Analysis</w:t>
      </w:r>
    </w:p>
    <w:p w14:paraId="6BBF1BFA" w14:textId="77777777" w:rsidR="00D2610E" w:rsidRPr="00C761C9" w:rsidRDefault="00D2610E" w:rsidP="00A624B4">
      <w:pPr>
        <w:jc w:val="both"/>
        <w:rPr>
          <w:rFonts w:asciiTheme="majorHAnsi" w:hAnsiTheme="majorHAnsi"/>
          <w:i/>
        </w:rPr>
      </w:pPr>
    </w:p>
    <w:p w14:paraId="4FE5AAAE" w14:textId="01A0A220" w:rsidR="00D10178" w:rsidRPr="00C761C9" w:rsidRDefault="00267759" w:rsidP="00A624B4">
      <w:pPr>
        <w:jc w:val="both"/>
        <w:rPr>
          <w:rFonts w:asciiTheme="majorHAnsi" w:hAnsiTheme="majorHAnsi"/>
          <w:smallCaps/>
          <w:sz w:val="22"/>
          <w:szCs w:val="22"/>
        </w:rPr>
      </w:pPr>
      <w:r>
        <w:rPr>
          <w:rFonts w:asciiTheme="majorHAnsi" w:hAnsiTheme="majorHAnsi"/>
          <w:sz w:val="22"/>
          <w:szCs w:val="22"/>
        </w:rPr>
        <w:t>4.2</w:t>
      </w:r>
      <w:r w:rsidR="00700832" w:rsidRPr="00C761C9">
        <w:rPr>
          <w:rFonts w:asciiTheme="majorHAnsi" w:hAnsiTheme="majorHAnsi"/>
          <w:sz w:val="22"/>
          <w:szCs w:val="22"/>
        </w:rPr>
        <w:t>.1</w:t>
      </w:r>
      <w:r w:rsidR="00D2610E" w:rsidRPr="00C761C9">
        <w:rPr>
          <w:rFonts w:asciiTheme="majorHAnsi" w:hAnsiTheme="majorHAnsi"/>
          <w:sz w:val="22"/>
          <w:szCs w:val="22"/>
        </w:rPr>
        <w:t xml:space="preserve">. </w:t>
      </w:r>
      <w:r>
        <w:rPr>
          <w:rFonts w:asciiTheme="majorHAnsi" w:hAnsiTheme="majorHAnsi"/>
          <w:smallCaps/>
        </w:rPr>
        <w:t>Literature Review</w:t>
      </w:r>
    </w:p>
    <w:p w14:paraId="025556DE" w14:textId="44A41273" w:rsidR="004E0A08" w:rsidRDefault="00C84D48" w:rsidP="00A624B4">
      <w:pPr>
        <w:jc w:val="both"/>
        <w:rPr>
          <w:rFonts w:asciiTheme="majorHAnsi" w:hAnsiTheme="majorHAnsi"/>
          <w:sz w:val="22"/>
          <w:szCs w:val="22"/>
        </w:rPr>
      </w:pPr>
      <w:r>
        <w:rPr>
          <w:rFonts w:asciiTheme="majorHAnsi" w:hAnsiTheme="majorHAnsi"/>
          <w:sz w:val="22"/>
          <w:szCs w:val="22"/>
        </w:rPr>
        <w:t>The starting point for analyses of tornado trends is generally a count of the number of tornadoes per year for the U.S. (</w:t>
      </w:r>
      <w:r w:rsidR="00A56401">
        <w:rPr>
          <w:rFonts w:asciiTheme="majorHAnsi" w:hAnsiTheme="majorHAnsi"/>
          <w:sz w:val="22"/>
          <w:szCs w:val="22"/>
        </w:rPr>
        <w:t>in which</w:t>
      </w:r>
      <w:r>
        <w:rPr>
          <w:rFonts w:asciiTheme="majorHAnsi" w:hAnsiTheme="majorHAnsi"/>
          <w:sz w:val="22"/>
          <w:szCs w:val="22"/>
        </w:rPr>
        <w:t xml:space="preserve"> the vast majority of all tornadoes </w:t>
      </w:r>
      <w:r w:rsidR="00A56401">
        <w:rPr>
          <w:rFonts w:asciiTheme="majorHAnsi" w:hAnsiTheme="majorHAnsi"/>
          <w:sz w:val="22"/>
          <w:szCs w:val="22"/>
        </w:rPr>
        <w:t>occur</w:t>
      </w:r>
      <w:r>
        <w:rPr>
          <w:rFonts w:asciiTheme="majorHAnsi" w:hAnsiTheme="majorHAnsi"/>
          <w:sz w:val="22"/>
          <w:szCs w:val="22"/>
        </w:rPr>
        <w:t xml:space="preserve">). </w:t>
      </w:r>
      <w:r w:rsidR="00A56401">
        <w:rPr>
          <w:rFonts w:asciiTheme="majorHAnsi" w:hAnsiTheme="majorHAnsi"/>
          <w:sz w:val="22"/>
          <w:szCs w:val="22"/>
        </w:rPr>
        <w:t xml:space="preserve">At first glance, the number of tornadoes reported per year has increased greatly over time (Talley, 2014; </w:t>
      </w:r>
      <w:proofErr w:type="spellStart"/>
      <w:r w:rsidR="00A56401">
        <w:rPr>
          <w:rFonts w:asciiTheme="majorHAnsi" w:hAnsiTheme="majorHAnsi"/>
          <w:sz w:val="22"/>
          <w:szCs w:val="22"/>
        </w:rPr>
        <w:t>Diffenbaugh</w:t>
      </w:r>
      <w:proofErr w:type="spellEnd"/>
      <w:r w:rsidR="00A56401">
        <w:rPr>
          <w:rFonts w:asciiTheme="majorHAnsi" w:hAnsiTheme="majorHAnsi"/>
          <w:sz w:val="22"/>
          <w:szCs w:val="22"/>
        </w:rPr>
        <w:t>, Trapp, and Brooks 2008). However, this apparent increase has several sources of bias. For instance, in the U.S. colonial era, fewer tornadoes were reported simply because there were fewer settlers in tornado-prone areas (</w:t>
      </w:r>
      <w:proofErr w:type="spellStart"/>
      <w:r w:rsidR="00A56401">
        <w:rPr>
          <w:rFonts w:asciiTheme="majorHAnsi" w:hAnsiTheme="majorHAnsi"/>
          <w:sz w:val="22"/>
          <w:szCs w:val="22"/>
        </w:rPr>
        <w:t>e.g</w:t>
      </w:r>
      <w:proofErr w:type="spellEnd"/>
      <w:r w:rsidR="00A56401">
        <w:rPr>
          <w:rFonts w:asciiTheme="majorHAnsi" w:hAnsiTheme="majorHAnsi"/>
          <w:sz w:val="22"/>
          <w:szCs w:val="22"/>
        </w:rPr>
        <w:t xml:space="preserve">, the Great Plains) to report them. Also, even in more recent times, smaller tornadoes </w:t>
      </w:r>
      <w:r w:rsidR="007B1A3A">
        <w:rPr>
          <w:rFonts w:asciiTheme="majorHAnsi" w:hAnsiTheme="majorHAnsi"/>
          <w:sz w:val="22"/>
          <w:szCs w:val="22"/>
        </w:rPr>
        <w:t xml:space="preserve">may be underreported due to their smaller footprint and the smaller amount of damage that they produce. </w:t>
      </w:r>
    </w:p>
    <w:p w14:paraId="66D64622" w14:textId="77777777" w:rsidR="0016342A" w:rsidRDefault="0016342A" w:rsidP="00A624B4">
      <w:pPr>
        <w:jc w:val="both"/>
        <w:rPr>
          <w:rFonts w:asciiTheme="majorHAnsi" w:hAnsiTheme="majorHAnsi"/>
          <w:sz w:val="22"/>
          <w:szCs w:val="22"/>
        </w:rPr>
      </w:pPr>
    </w:p>
    <w:p w14:paraId="47EC05B7" w14:textId="5B9022C6" w:rsidR="007B1A3A" w:rsidRDefault="007B1A3A" w:rsidP="00A624B4">
      <w:pPr>
        <w:jc w:val="both"/>
        <w:rPr>
          <w:rFonts w:asciiTheme="majorHAnsi" w:hAnsiTheme="majorHAnsi"/>
          <w:sz w:val="22"/>
          <w:szCs w:val="22"/>
        </w:rPr>
      </w:pPr>
      <w:r>
        <w:rPr>
          <w:rFonts w:asciiTheme="majorHAnsi" w:hAnsiTheme="majorHAnsi"/>
          <w:sz w:val="22"/>
          <w:szCs w:val="22"/>
        </w:rPr>
        <w:t xml:space="preserve"> </w:t>
      </w:r>
      <w:r w:rsidR="0016342A">
        <w:rPr>
          <w:rFonts w:asciiTheme="majorHAnsi" w:hAnsiTheme="majorHAnsi"/>
          <w:sz w:val="22"/>
          <w:szCs w:val="22"/>
        </w:rPr>
        <w:t xml:space="preserve">For these reasons, the period over which tornado statistics may be reliably compared is relatively short, perhaps the last 50-60 years. Even over this short span, the total number of reported tornadoes has increased significantly. However, if the weakest (F0) tornadoes are excluded from the total, in order to </w:t>
      </w:r>
      <w:r w:rsidR="0016342A">
        <w:rPr>
          <w:rFonts w:asciiTheme="majorHAnsi" w:hAnsiTheme="majorHAnsi"/>
          <w:sz w:val="22"/>
          <w:szCs w:val="22"/>
        </w:rPr>
        <w:lastRenderedPageBreak/>
        <w:t>reduce reporting biases in favor of more intense or destructive storms, the number has remained relatively constant (</w:t>
      </w:r>
      <w:proofErr w:type="spellStart"/>
      <w:r w:rsidR="0016342A">
        <w:rPr>
          <w:rFonts w:asciiTheme="majorHAnsi" w:hAnsiTheme="majorHAnsi"/>
          <w:sz w:val="22"/>
          <w:szCs w:val="22"/>
        </w:rPr>
        <w:t>Doswell</w:t>
      </w:r>
      <w:proofErr w:type="spellEnd"/>
      <w:r w:rsidR="0016342A">
        <w:rPr>
          <w:rFonts w:asciiTheme="majorHAnsi" w:hAnsiTheme="majorHAnsi"/>
          <w:sz w:val="22"/>
          <w:szCs w:val="22"/>
        </w:rPr>
        <w:t xml:space="preserve">, 2007; </w:t>
      </w:r>
      <w:proofErr w:type="spellStart"/>
      <w:r w:rsidR="0016342A">
        <w:rPr>
          <w:rFonts w:asciiTheme="majorHAnsi" w:hAnsiTheme="majorHAnsi"/>
          <w:sz w:val="22"/>
          <w:szCs w:val="22"/>
        </w:rPr>
        <w:t>Diffenbaugh</w:t>
      </w:r>
      <w:proofErr w:type="spellEnd"/>
      <w:r w:rsidR="0016342A">
        <w:rPr>
          <w:rFonts w:asciiTheme="majorHAnsi" w:hAnsiTheme="majorHAnsi"/>
          <w:sz w:val="22"/>
          <w:szCs w:val="22"/>
        </w:rPr>
        <w:t xml:space="preserve">, Trapp, and Brooks 2008). </w:t>
      </w:r>
    </w:p>
    <w:p w14:paraId="453D4BC2" w14:textId="77777777" w:rsidR="0016342A" w:rsidRDefault="0016342A" w:rsidP="00A624B4">
      <w:pPr>
        <w:jc w:val="both"/>
        <w:rPr>
          <w:rFonts w:asciiTheme="majorHAnsi" w:hAnsiTheme="majorHAnsi"/>
          <w:sz w:val="22"/>
          <w:szCs w:val="22"/>
        </w:rPr>
      </w:pPr>
    </w:p>
    <w:p w14:paraId="6DB2C2B8" w14:textId="398C2F7A" w:rsidR="00784FE0" w:rsidRDefault="00CC5319" w:rsidP="00A624B4">
      <w:pPr>
        <w:jc w:val="both"/>
        <w:rPr>
          <w:rFonts w:asciiTheme="majorHAnsi" w:hAnsiTheme="majorHAnsi"/>
          <w:sz w:val="22"/>
          <w:szCs w:val="22"/>
        </w:rPr>
      </w:pPr>
      <w:r>
        <w:rPr>
          <w:rFonts w:asciiTheme="majorHAnsi" w:hAnsiTheme="majorHAnsi"/>
          <w:sz w:val="22"/>
          <w:szCs w:val="22"/>
        </w:rPr>
        <w:t>Shifts in climate due to global warming may cause changes in tornado frequencies, intensities, or variability on the time scale of decades (Trapp, 2014). Such changes are thus far difficult to detect (</w:t>
      </w:r>
      <w:proofErr w:type="spellStart"/>
      <w:r>
        <w:rPr>
          <w:rFonts w:asciiTheme="majorHAnsi" w:hAnsiTheme="majorHAnsi"/>
          <w:sz w:val="22"/>
          <w:szCs w:val="22"/>
        </w:rPr>
        <w:t>Elsner</w:t>
      </w:r>
      <w:proofErr w:type="spellEnd"/>
      <w:r>
        <w:rPr>
          <w:rFonts w:asciiTheme="majorHAnsi" w:hAnsiTheme="majorHAnsi"/>
          <w:sz w:val="22"/>
          <w:szCs w:val="22"/>
        </w:rPr>
        <w:t xml:space="preserve">, Jagger, and </w:t>
      </w:r>
      <w:proofErr w:type="spellStart"/>
      <w:r>
        <w:rPr>
          <w:rFonts w:asciiTheme="majorHAnsi" w:hAnsiTheme="majorHAnsi"/>
          <w:sz w:val="22"/>
          <w:szCs w:val="22"/>
        </w:rPr>
        <w:t>Elsner</w:t>
      </w:r>
      <w:proofErr w:type="spellEnd"/>
      <w:r>
        <w:rPr>
          <w:rFonts w:asciiTheme="majorHAnsi" w:hAnsiTheme="majorHAnsi"/>
          <w:sz w:val="22"/>
          <w:szCs w:val="22"/>
        </w:rPr>
        <w:t xml:space="preserve">, 2011). However, some trends have been found. </w:t>
      </w:r>
      <w:r w:rsidR="00784FE0">
        <w:rPr>
          <w:rFonts w:asciiTheme="majorHAnsi" w:hAnsiTheme="majorHAnsi"/>
          <w:sz w:val="22"/>
          <w:szCs w:val="22"/>
        </w:rPr>
        <w:t xml:space="preserve">The </w:t>
      </w:r>
      <w:proofErr w:type="spellStart"/>
      <w:r w:rsidR="00784FE0">
        <w:rPr>
          <w:rFonts w:asciiTheme="majorHAnsi" w:hAnsiTheme="majorHAnsi"/>
          <w:sz w:val="22"/>
          <w:szCs w:val="22"/>
        </w:rPr>
        <w:t>interannual</w:t>
      </w:r>
      <w:proofErr w:type="spellEnd"/>
      <w:r w:rsidR="00784FE0">
        <w:rPr>
          <w:rFonts w:asciiTheme="majorHAnsi" w:hAnsiTheme="majorHAnsi"/>
          <w:sz w:val="22"/>
          <w:szCs w:val="22"/>
        </w:rPr>
        <w:t xml:space="preserve"> variation of tornado frequency has increased over the last 10 years (Thompson, 2014). The number of days per year on which tornadoes occur is decreasing, while the number of tornadoes on each of those days is increasing (Brooks, private communication). Also, some regions outside of the usual tornado-spawning grounds in the middle of the country, such as the Northeast</w:t>
      </w:r>
      <w:r w:rsidR="0063658B">
        <w:rPr>
          <w:rFonts w:asciiTheme="majorHAnsi" w:hAnsiTheme="majorHAnsi"/>
          <w:sz w:val="22"/>
          <w:szCs w:val="22"/>
        </w:rPr>
        <w:t xml:space="preserve"> (Talley, 2014) and Canada (Cao and </w:t>
      </w:r>
      <w:proofErr w:type="spellStart"/>
      <w:r w:rsidR="0063658B">
        <w:rPr>
          <w:rFonts w:asciiTheme="majorHAnsi" w:hAnsiTheme="majorHAnsi"/>
          <w:sz w:val="22"/>
          <w:szCs w:val="22"/>
        </w:rPr>
        <w:t>Cai</w:t>
      </w:r>
      <w:proofErr w:type="spellEnd"/>
      <w:r w:rsidR="0063658B">
        <w:rPr>
          <w:rFonts w:asciiTheme="majorHAnsi" w:hAnsiTheme="majorHAnsi"/>
          <w:sz w:val="22"/>
          <w:szCs w:val="22"/>
        </w:rPr>
        <w:t>, 2011)</w:t>
      </w:r>
      <w:r w:rsidR="00784FE0">
        <w:rPr>
          <w:rFonts w:asciiTheme="majorHAnsi" w:hAnsiTheme="majorHAnsi"/>
          <w:sz w:val="22"/>
          <w:szCs w:val="22"/>
        </w:rPr>
        <w:t>, are experiencing higher numbers of d</w:t>
      </w:r>
      <w:r w:rsidR="0063658B">
        <w:rPr>
          <w:rFonts w:asciiTheme="majorHAnsi" w:hAnsiTheme="majorHAnsi"/>
          <w:sz w:val="22"/>
          <w:szCs w:val="22"/>
        </w:rPr>
        <w:t>amaging tornadoes</w:t>
      </w:r>
      <w:r w:rsidR="00784FE0">
        <w:rPr>
          <w:rFonts w:asciiTheme="majorHAnsi" w:hAnsiTheme="majorHAnsi"/>
          <w:sz w:val="22"/>
          <w:szCs w:val="22"/>
        </w:rPr>
        <w:t>.</w:t>
      </w:r>
    </w:p>
    <w:p w14:paraId="54A8B455" w14:textId="77777777" w:rsidR="00784FE0" w:rsidRDefault="00784FE0" w:rsidP="00A624B4">
      <w:pPr>
        <w:jc w:val="both"/>
        <w:rPr>
          <w:rFonts w:asciiTheme="majorHAnsi" w:hAnsiTheme="majorHAnsi"/>
          <w:sz w:val="22"/>
          <w:szCs w:val="22"/>
        </w:rPr>
      </w:pPr>
    </w:p>
    <w:p w14:paraId="4392E2D7" w14:textId="42132FC2" w:rsidR="0016342A" w:rsidRDefault="00784FE0" w:rsidP="00A624B4">
      <w:pPr>
        <w:jc w:val="both"/>
        <w:rPr>
          <w:rFonts w:asciiTheme="majorHAnsi" w:hAnsiTheme="majorHAnsi"/>
          <w:sz w:val="22"/>
          <w:szCs w:val="22"/>
        </w:rPr>
      </w:pPr>
      <w:r>
        <w:rPr>
          <w:rFonts w:asciiTheme="majorHAnsi" w:hAnsiTheme="majorHAnsi"/>
          <w:sz w:val="22"/>
          <w:szCs w:val="22"/>
        </w:rPr>
        <w:t xml:space="preserve"> </w:t>
      </w:r>
      <w:r w:rsidR="0063658B">
        <w:rPr>
          <w:rFonts w:asciiTheme="majorHAnsi" w:hAnsiTheme="majorHAnsi"/>
          <w:sz w:val="22"/>
          <w:szCs w:val="22"/>
        </w:rPr>
        <w:t xml:space="preserve">4.2.2. </w:t>
      </w:r>
      <w:r w:rsidR="0063658B" w:rsidRPr="0063658B">
        <w:rPr>
          <w:rFonts w:asciiTheme="majorHAnsi" w:hAnsiTheme="majorHAnsi"/>
          <w:smallCaps/>
        </w:rPr>
        <w:t>Tornadoes in the U.S.</w:t>
      </w:r>
    </w:p>
    <w:p w14:paraId="7FFDAE43" w14:textId="5A42FC53" w:rsidR="0063658B" w:rsidRDefault="0063658B" w:rsidP="00A624B4">
      <w:pPr>
        <w:jc w:val="both"/>
        <w:rPr>
          <w:rFonts w:asciiTheme="majorHAnsi" w:hAnsiTheme="majorHAnsi"/>
          <w:sz w:val="22"/>
          <w:szCs w:val="22"/>
        </w:rPr>
      </w:pPr>
      <w:r>
        <w:rPr>
          <w:rFonts w:asciiTheme="majorHAnsi" w:hAnsiTheme="majorHAnsi"/>
          <w:sz w:val="22"/>
          <w:szCs w:val="22"/>
        </w:rPr>
        <w:t xml:space="preserve">Our analysis of tornadoes in the U.S. is based on the list of tornadoes at the NOAA Storm Prediction Center, covering the period 1950-2013. </w:t>
      </w:r>
      <w:r w:rsidR="006F01AF">
        <w:rPr>
          <w:rFonts w:asciiTheme="majorHAnsi" w:hAnsiTheme="majorHAnsi"/>
          <w:sz w:val="22"/>
          <w:szCs w:val="22"/>
        </w:rPr>
        <w:t>Figure 4.1</w:t>
      </w:r>
      <w:r w:rsidR="001D74F9">
        <w:rPr>
          <w:rFonts w:asciiTheme="majorHAnsi" w:hAnsiTheme="majorHAnsi"/>
          <w:sz w:val="22"/>
          <w:szCs w:val="22"/>
        </w:rPr>
        <w:t xml:space="preserve"> shows the</w:t>
      </w:r>
      <w:r w:rsidR="001D74F9" w:rsidRPr="001D74F9">
        <w:rPr>
          <w:rFonts w:asciiTheme="majorHAnsi" w:hAnsiTheme="majorHAnsi"/>
          <w:sz w:val="22"/>
          <w:szCs w:val="22"/>
        </w:rPr>
        <w:t xml:space="preserve"> </w:t>
      </w:r>
      <w:r w:rsidR="001D74F9">
        <w:rPr>
          <w:rFonts w:asciiTheme="majorHAnsi" w:hAnsiTheme="majorHAnsi"/>
          <w:sz w:val="22"/>
          <w:szCs w:val="22"/>
        </w:rPr>
        <w:t>plot</w:t>
      </w:r>
      <w:r w:rsidR="001D74F9" w:rsidRPr="001D74F9">
        <w:rPr>
          <w:rFonts w:asciiTheme="majorHAnsi" w:hAnsiTheme="majorHAnsi"/>
          <w:sz w:val="22"/>
          <w:szCs w:val="22"/>
        </w:rPr>
        <w:t xml:space="preserve"> of annual </w:t>
      </w:r>
      <w:r w:rsidR="006F01AF">
        <w:rPr>
          <w:rFonts w:asciiTheme="majorHAnsi" w:hAnsiTheme="majorHAnsi"/>
          <w:sz w:val="22"/>
          <w:szCs w:val="22"/>
        </w:rPr>
        <w:t>numbers</w:t>
      </w:r>
      <w:r w:rsidR="001D74F9">
        <w:rPr>
          <w:rFonts w:asciiTheme="majorHAnsi" w:hAnsiTheme="majorHAnsi"/>
          <w:sz w:val="22"/>
          <w:szCs w:val="22"/>
        </w:rPr>
        <w:t xml:space="preserve"> of damaging </w:t>
      </w:r>
      <w:r w:rsidR="001D74F9" w:rsidRPr="001D74F9">
        <w:rPr>
          <w:rFonts w:asciiTheme="majorHAnsi" w:hAnsiTheme="majorHAnsi"/>
          <w:sz w:val="22"/>
          <w:szCs w:val="22"/>
        </w:rPr>
        <w:t>tornado</w:t>
      </w:r>
      <w:r w:rsidR="001D74F9">
        <w:rPr>
          <w:rFonts w:asciiTheme="majorHAnsi" w:hAnsiTheme="majorHAnsi"/>
          <w:sz w:val="22"/>
          <w:szCs w:val="22"/>
        </w:rPr>
        <w:t>es (F1-F5 intensity)</w:t>
      </w:r>
      <w:r w:rsidR="006F01AF">
        <w:rPr>
          <w:rFonts w:asciiTheme="majorHAnsi" w:hAnsiTheme="majorHAnsi"/>
          <w:sz w:val="22"/>
          <w:szCs w:val="22"/>
        </w:rPr>
        <w:t xml:space="preserve">. </w:t>
      </w:r>
    </w:p>
    <w:p w14:paraId="4086CB07" w14:textId="77777777" w:rsidR="006F01AF" w:rsidRDefault="006F01AF" w:rsidP="00A624B4">
      <w:pPr>
        <w:jc w:val="both"/>
        <w:rPr>
          <w:rFonts w:asciiTheme="majorHAnsi" w:hAnsiTheme="majorHAnsi"/>
          <w:sz w:val="22"/>
          <w:szCs w:val="22"/>
        </w:rPr>
      </w:pPr>
    </w:p>
    <w:p w14:paraId="0E27B0ED" w14:textId="313C1E1C" w:rsidR="006F01AF" w:rsidRDefault="006F01AF" w:rsidP="00A624B4">
      <w:pPr>
        <w:jc w:val="both"/>
        <w:rPr>
          <w:rFonts w:asciiTheme="majorHAnsi" w:hAnsiTheme="majorHAnsi"/>
          <w:sz w:val="22"/>
          <w:szCs w:val="22"/>
        </w:rPr>
      </w:pPr>
      <w:r>
        <w:rPr>
          <w:noProof/>
          <w:lang w:eastAsia="en-US"/>
        </w:rPr>
        <w:drawing>
          <wp:inline distT="0" distB="0" distL="0" distR="0" wp14:anchorId="6A5BF3E2" wp14:editId="14B0A21F">
            <wp:extent cx="4591050" cy="1625600"/>
            <wp:effectExtent l="0" t="0" r="1905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398013" w14:textId="30F1D6BC" w:rsidR="006F01AF" w:rsidRPr="006F01AF" w:rsidRDefault="006F01AF" w:rsidP="006F01AF">
      <w:pPr>
        <w:pStyle w:val="Caption"/>
      </w:pPr>
      <w:r>
        <w:t>Figure 4.1: Annual number of tornadoes in the U.S. of intensity F1-F5 (red), using a 5-year running mean. The dashed lines above and below the red line show variations of one standard deviation.</w:t>
      </w:r>
    </w:p>
    <w:p w14:paraId="3B7CCB0F" w14:textId="6D45A306" w:rsidR="006F01AF" w:rsidRDefault="006F01AF" w:rsidP="00A624B4">
      <w:pPr>
        <w:jc w:val="both"/>
        <w:rPr>
          <w:rFonts w:asciiTheme="majorHAnsi" w:hAnsiTheme="majorHAnsi"/>
          <w:sz w:val="22"/>
          <w:szCs w:val="22"/>
        </w:rPr>
      </w:pPr>
      <w:r>
        <w:rPr>
          <w:rFonts w:asciiTheme="majorHAnsi" w:hAnsiTheme="majorHAnsi"/>
          <w:sz w:val="22"/>
          <w:szCs w:val="22"/>
        </w:rPr>
        <w:t xml:space="preserve">When this is compared to our reanalysis results for the annual number of days of tornado environment, Figure 3.2b, </w:t>
      </w:r>
      <w:r w:rsidR="00631064">
        <w:rPr>
          <w:rFonts w:asciiTheme="majorHAnsi" w:hAnsiTheme="majorHAnsi"/>
          <w:sz w:val="22"/>
          <w:szCs w:val="22"/>
        </w:rPr>
        <w:t>several</w:t>
      </w:r>
      <w:r>
        <w:rPr>
          <w:rFonts w:asciiTheme="majorHAnsi" w:hAnsiTheme="majorHAnsi"/>
          <w:sz w:val="22"/>
          <w:szCs w:val="22"/>
        </w:rPr>
        <w:t xml:space="preserve"> similarities are apparent:</w:t>
      </w:r>
    </w:p>
    <w:p w14:paraId="0C34DB00" w14:textId="1E6B6DBC" w:rsidR="006F01AF" w:rsidRPr="006F01AF" w:rsidRDefault="006F01AF" w:rsidP="006F01AF">
      <w:pPr>
        <w:pStyle w:val="ListParagraph"/>
        <w:numPr>
          <w:ilvl w:val="0"/>
          <w:numId w:val="3"/>
        </w:numPr>
        <w:jc w:val="both"/>
        <w:rPr>
          <w:rFonts w:asciiTheme="majorHAnsi" w:hAnsiTheme="majorHAnsi"/>
          <w:sz w:val="22"/>
          <w:szCs w:val="22"/>
        </w:rPr>
      </w:pPr>
      <w:r>
        <w:rPr>
          <w:rFonts w:asciiTheme="majorHAnsi" w:hAnsiTheme="majorHAnsi"/>
          <w:sz w:val="22"/>
          <w:szCs w:val="22"/>
        </w:rPr>
        <w:t>The amount</w:t>
      </w:r>
      <w:r w:rsidR="00270D25">
        <w:rPr>
          <w:rFonts w:asciiTheme="majorHAnsi" w:hAnsiTheme="majorHAnsi"/>
          <w:sz w:val="22"/>
          <w:szCs w:val="22"/>
        </w:rPr>
        <w:t xml:space="preserve"> of tornado "activity" has been</w:t>
      </w:r>
      <w:r>
        <w:rPr>
          <w:rFonts w:asciiTheme="majorHAnsi" w:hAnsiTheme="majorHAnsi"/>
          <w:sz w:val="22"/>
          <w:szCs w:val="22"/>
        </w:rPr>
        <w:t xml:space="preserve"> f</w:t>
      </w:r>
      <w:r w:rsidRPr="006F01AF">
        <w:rPr>
          <w:rFonts w:asciiTheme="majorHAnsi" w:hAnsiTheme="majorHAnsi"/>
          <w:sz w:val="22"/>
          <w:szCs w:val="22"/>
        </w:rPr>
        <w:t>airly flat</w:t>
      </w:r>
      <w:r w:rsidR="00631064">
        <w:rPr>
          <w:rFonts w:asciiTheme="majorHAnsi" w:hAnsiTheme="majorHAnsi"/>
          <w:sz w:val="22"/>
          <w:szCs w:val="22"/>
        </w:rPr>
        <w:t xml:space="preserve"> since 196</w:t>
      </w:r>
      <w:r w:rsidR="00270D25">
        <w:rPr>
          <w:rFonts w:asciiTheme="majorHAnsi" w:hAnsiTheme="majorHAnsi"/>
          <w:sz w:val="22"/>
          <w:szCs w:val="22"/>
        </w:rPr>
        <w:t>0</w:t>
      </w:r>
    </w:p>
    <w:p w14:paraId="62C2386F" w14:textId="4075B2C8" w:rsidR="006F01AF" w:rsidRPr="006F01AF" w:rsidRDefault="00270D25" w:rsidP="006F01AF">
      <w:pPr>
        <w:pStyle w:val="ListParagraph"/>
        <w:numPr>
          <w:ilvl w:val="0"/>
          <w:numId w:val="3"/>
        </w:numPr>
        <w:jc w:val="both"/>
        <w:rPr>
          <w:rFonts w:asciiTheme="majorHAnsi" w:hAnsiTheme="majorHAnsi"/>
          <w:sz w:val="22"/>
          <w:szCs w:val="22"/>
        </w:rPr>
      </w:pPr>
      <w:r>
        <w:rPr>
          <w:rFonts w:asciiTheme="majorHAnsi" w:hAnsiTheme="majorHAnsi"/>
          <w:sz w:val="22"/>
          <w:szCs w:val="22"/>
        </w:rPr>
        <w:t>There was a</w:t>
      </w:r>
      <w:r w:rsidR="006F01AF" w:rsidRPr="006F01AF">
        <w:rPr>
          <w:rFonts w:asciiTheme="majorHAnsi" w:hAnsiTheme="majorHAnsi"/>
          <w:sz w:val="22"/>
          <w:szCs w:val="22"/>
        </w:rPr>
        <w:t xml:space="preserve"> rise in activity in the early '70s, and a smaller rise in the early '90s</w:t>
      </w:r>
    </w:p>
    <w:p w14:paraId="2C723DAE" w14:textId="2793E995" w:rsidR="006F01AF" w:rsidRDefault="00270D25" w:rsidP="006F01AF">
      <w:pPr>
        <w:pStyle w:val="ListParagraph"/>
        <w:numPr>
          <w:ilvl w:val="0"/>
          <w:numId w:val="3"/>
        </w:numPr>
        <w:jc w:val="both"/>
        <w:rPr>
          <w:rFonts w:asciiTheme="majorHAnsi" w:hAnsiTheme="majorHAnsi"/>
          <w:sz w:val="22"/>
          <w:szCs w:val="22"/>
        </w:rPr>
      </w:pPr>
      <w:r>
        <w:rPr>
          <w:rFonts w:asciiTheme="majorHAnsi" w:hAnsiTheme="majorHAnsi"/>
          <w:sz w:val="22"/>
          <w:szCs w:val="22"/>
        </w:rPr>
        <w:t>There was a very small variance in the mid-19</w:t>
      </w:r>
      <w:r w:rsidRPr="006F01AF">
        <w:rPr>
          <w:rFonts w:asciiTheme="majorHAnsi" w:hAnsiTheme="majorHAnsi"/>
          <w:sz w:val="22"/>
          <w:szCs w:val="22"/>
        </w:rPr>
        <w:t>90s</w:t>
      </w:r>
      <w:r w:rsidR="006F01AF" w:rsidRPr="006F01AF">
        <w:rPr>
          <w:rFonts w:asciiTheme="majorHAnsi" w:hAnsiTheme="majorHAnsi"/>
          <w:sz w:val="22"/>
          <w:szCs w:val="22"/>
        </w:rPr>
        <w:t>, followed by a rise in variance from then to the present</w:t>
      </w:r>
    </w:p>
    <w:p w14:paraId="57484432" w14:textId="3BBE332E" w:rsidR="00631064" w:rsidRDefault="00631064" w:rsidP="00631064">
      <w:pPr>
        <w:jc w:val="both"/>
        <w:rPr>
          <w:rFonts w:asciiTheme="majorHAnsi" w:hAnsiTheme="majorHAnsi"/>
          <w:sz w:val="22"/>
          <w:szCs w:val="22"/>
        </w:rPr>
      </w:pPr>
      <w:r>
        <w:rPr>
          <w:rFonts w:asciiTheme="majorHAnsi" w:hAnsiTheme="majorHAnsi"/>
          <w:sz w:val="22"/>
          <w:szCs w:val="22"/>
        </w:rPr>
        <w:t>These similarities give some encouragement that our reanalysis numbers are reflective of then frequencies of damaging tornadoes.</w:t>
      </w:r>
    </w:p>
    <w:p w14:paraId="238C13B8" w14:textId="77777777" w:rsidR="00631064" w:rsidRDefault="00631064" w:rsidP="00631064">
      <w:pPr>
        <w:jc w:val="both"/>
        <w:rPr>
          <w:rFonts w:asciiTheme="majorHAnsi" w:hAnsiTheme="majorHAnsi"/>
          <w:sz w:val="22"/>
          <w:szCs w:val="22"/>
        </w:rPr>
      </w:pPr>
    </w:p>
    <w:p w14:paraId="5CA536F4" w14:textId="5DB89B34" w:rsidR="007E1F04" w:rsidRDefault="007E1F04" w:rsidP="007E1F04">
      <w:pPr>
        <w:jc w:val="both"/>
        <w:rPr>
          <w:rFonts w:asciiTheme="majorHAnsi" w:hAnsiTheme="majorHAnsi"/>
          <w:sz w:val="22"/>
          <w:szCs w:val="22"/>
        </w:rPr>
      </w:pPr>
      <w:r>
        <w:rPr>
          <w:rFonts w:asciiTheme="majorHAnsi" w:hAnsiTheme="majorHAnsi"/>
          <w:sz w:val="22"/>
          <w:szCs w:val="22"/>
        </w:rPr>
        <w:t xml:space="preserve">4.2.3. </w:t>
      </w:r>
      <w:r>
        <w:rPr>
          <w:rFonts w:asciiTheme="majorHAnsi" w:hAnsiTheme="majorHAnsi"/>
          <w:smallCaps/>
        </w:rPr>
        <w:t>Tornadoes in Canada</w:t>
      </w:r>
    </w:p>
    <w:p w14:paraId="752B9CEC" w14:textId="78BC6340" w:rsidR="00631064" w:rsidRDefault="007E1F04" w:rsidP="00631064">
      <w:pPr>
        <w:jc w:val="both"/>
        <w:rPr>
          <w:rFonts w:asciiTheme="majorHAnsi" w:hAnsiTheme="majorHAnsi"/>
          <w:sz w:val="22"/>
          <w:szCs w:val="22"/>
        </w:rPr>
      </w:pPr>
      <w:r>
        <w:rPr>
          <w:rFonts w:asciiTheme="majorHAnsi" w:hAnsiTheme="majorHAnsi"/>
          <w:sz w:val="22"/>
          <w:szCs w:val="22"/>
        </w:rPr>
        <w:t xml:space="preserve">There are far fewer tornadoes in Canada (perhaps 100/year) than in the U.S. Statistical analyses of Canadian tornadoes are also scarcer than studies of U.S. tornadoes. One paper by Cao and Cia (2011) of the province of Ontario showed that the numbers of tornadoes of all categories was slowly increasing, by about 1.6 tornadoes per decade. </w:t>
      </w:r>
      <w:r w:rsidR="00F179B8">
        <w:rPr>
          <w:rFonts w:asciiTheme="majorHAnsi" w:hAnsiTheme="majorHAnsi"/>
          <w:sz w:val="22"/>
          <w:szCs w:val="22"/>
        </w:rPr>
        <w:t>This trend persisted when the authors excluded the weak F0 category, in order to minimize reporting bias.</w:t>
      </w:r>
    </w:p>
    <w:p w14:paraId="6BC17BEF" w14:textId="77777777" w:rsidR="00F179B8" w:rsidRDefault="00F179B8" w:rsidP="00631064">
      <w:pPr>
        <w:jc w:val="both"/>
        <w:rPr>
          <w:rFonts w:asciiTheme="majorHAnsi" w:hAnsiTheme="majorHAnsi"/>
          <w:sz w:val="22"/>
          <w:szCs w:val="22"/>
        </w:rPr>
      </w:pPr>
    </w:p>
    <w:p w14:paraId="6E388FF3" w14:textId="03343F93" w:rsidR="00F179B8" w:rsidRDefault="00F179B8" w:rsidP="00631064">
      <w:pPr>
        <w:jc w:val="both"/>
        <w:rPr>
          <w:rFonts w:asciiTheme="majorHAnsi" w:hAnsiTheme="majorHAnsi"/>
          <w:sz w:val="22"/>
          <w:szCs w:val="22"/>
        </w:rPr>
      </w:pPr>
      <w:r>
        <w:rPr>
          <w:rFonts w:asciiTheme="majorHAnsi" w:hAnsiTheme="majorHAnsi"/>
          <w:sz w:val="22"/>
          <w:szCs w:val="22"/>
        </w:rPr>
        <w:t>In order to compare their results to ours, we smoothed the data from Cao and Cia Figure 3 using a 5-year running mean (see Figure 4.2, below). Note the small number of tornadoes per year, leading to large variability most years.</w:t>
      </w:r>
    </w:p>
    <w:p w14:paraId="62055FAC" w14:textId="77777777" w:rsidR="00F179B8" w:rsidRDefault="00F179B8" w:rsidP="00631064">
      <w:pPr>
        <w:jc w:val="both"/>
        <w:rPr>
          <w:rFonts w:asciiTheme="majorHAnsi" w:hAnsiTheme="majorHAnsi"/>
          <w:sz w:val="22"/>
          <w:szCs w:val="22"/>
        </w:rPr>
      </w:pPr>
    </w:p>
    <w:p w14:paraId="0677A812" w14:textId="01733306" w:rsidR="00F179B8" w:rsidRDefault="005631DE" w:rsidP="00631064">
      <w:pPr>
        <w:jc w:val="both"/>
        <w:rPr>
          <w:rFonts w:asciiTheme="majorHAnsi" w:hAnsiTheme="majorHAnsi"/>
          <w:sz w:val="22"/>
          <w:szCs w:val="22"/>
        </w:rPr>
      </w:pPr>
      <w:r>
        <w:rPr>
          <w:rFonts w:asciiTheme="majorHAnsi" w:hAnsiTheme="majorHAnsi"/>
          <w:sz w:val="22"/>
          <w:szCs w:val="22"/>
        </w:rPr>
        <w:t xml:space="preserve">Our regional results for frequencies of tornado environments, given in section 3.2.2, are not directly comparable to this plot, since Ontario is split between two Canadian regions. Therefore, </w:t>
      </w:r>
      <w:r w:rsidR="00BF382C">
        <w:rPr>
          <w:rFonts w:asciiTheme="majorHAnsi" w:hAnsiTheme="majorHAnsi"/>
          <w:sz w:val="22"/>
          <w:szCs w:val="22"/>
        </w:rPr>
        <w:t xml:space="preserve">in Figure 4.3 </w:t>
      </w:r>
      <w:r>
        <w:rPr>
          <w:rFonts w:asciiTheme="majorHAnsi" w:hAnsiTheme="majorHAnsi"/>
          <w:sz w:val="22"/>
          <w:szCs w:val="22"/>
        </w:rPr>
        <w:t xml:space="preserve">we </w:t>
      </w:r>
      <w:r w:rsidR="00BF382C">
        <w:rPr>
          <w:rFonts w:asciiTheme="majorHAnsi" w:hAnsiTheme="majorHAnsi"/>
          <w:sz w:val="22"/>
          <w:szCs w:val="22"/>
        </w:rPr>
        <w:t xml:space="preserve">plot the frequencies of tornado environments for just Ontario. Comparing Figures 4.2 and 4.3, we see that the </w:t>
      </w:r>
      <w:proofErr w:type="gramStart"/>
      <w:r w:rsidR="00BF382C">
        <w:rPr>
          <w:rFonts w:asciiTheme="majorHAnsi" w:hAnsiTheme="majorHAnsi"/>
          <w:sz w:val="22"/>
          <w:szCs w:val="22"/>
        </w:rPr>
        <w:t>trend of tornado “events” are</w:t>
      </w:r>
      <w:proofErr w:type="gramEnd"/>
      <w:r w:rsidR="00BF382C">
        <w:rPr>
          <w:rFonts w:asciiTheme="majorHAnsi" w:hAnsiTheme="majorHAnsi"/>
          <w:sz w:val="22"/>
          <w:szCs w:val="22"/>
        </w:rPr>
        <w:t xml:space="preserve"> both relatively flat. However, they both show a minimum around 1990, followed by a sharp rise.</w:t>
      </w:r>
    </w:p>
    <w:p w14:paraId="473E2E72" w14:textId="77777777" w:rsidR="00F179B8" w:rsidRDefault="00F179B8" w:rsidP="00631064">
      <w:pPr>
        <w:jc w:val="both"/>
        <w:rPr>
          <w:rFonts w:asciiTheme="majorHAnsi" w:hAnsiTheme="majorHAnsi"/>
          <w:sz w:val="22"/>
          <w:szCs w:val="22"/>
        </w:rPr>
      </w:pPr>
    </w:p>
    <w:p w14:paraId="37889C6A" w14:textId="5C78BEC5" w:rsidR="00F179B8" w:rsidRDefault="00F179B8" w:rsidP="00631064">
      <w:pPr>
        <w:jc w:val="both"/>
        <w:rPr>
          <w:rFonts w:asciiTheme="majorHAnsi" w:hAnsiTheme="majorHAnsi"/>
          <w:sz w:val="22"/>
          <w:szCs w:val="22"/>
        </w:rPr>
      </w:pPr>
      <w:r>
        <w:rPr>
          <w:noProof/>
          <w:lang w:eastAsia="en-US"/>
        </w:rPr>
        <w:drawing>
          <wp:inline distT="0" distB="0" distL="0" distR="0" wp14:anchorId="1F3B7D4F" wp14:editId="22064F4E">
            <wp:extent cx="4495800" cy="1676400"/>
            <wp:effectExtent l="0" t="0" r="19050" b="1905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1D21AD" w14:textId="68355B88" w:rsidR="00F179B8" w:rsidRDefault="00F179B8" w:rsidP="00F179B8">
      <w:pPr>
        <w:pStyle w:val="Caption"/>
      </w:pPr>
      <w:r>
        <w:t>Figure 4.2: Annual number of tornadoes in Ontario of intensity F1-F5 (red), using a 5-</w:t>
      </w:r>
      <w:proofErr w:type="gramStart"/>
      <w:r>
        <w:t>year running</w:t>
      </w:r>
      <w:proofErr w:type="gramEnd"/>
      <w:r>
        <w:t xml:space="preserve"> mean (from Cao and Cia, 2011, Fig. 3). The dashed lines above and below the red line show variations of one standard deviation.</w:t>
      </w:r>
    </w:p>
    <w:p w14:paraId="0D549352" w14:textId="68806E3D" w:rsidR="00BF382C" w:rsidRDefault="00BF382C" w:rsidP="00BF382C">
      <w:r>
        <w:rPr>
          <w:noProof/>
          <w:lang w:eastAsia="en-US"/>
        </w:rPr>
        <w:drawing>
          <wp:inline distT="0" distB="0" distL="0" distR="0" wp14:anchorId="221215DE" wp14:editId="2AE47012">
            <wp:extent cx="4425950" cy="2038350"/>
            <wp:effectExtent l="0" t="0" r="12700" b="19050"/>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AC37BC" w14:textId="3FF72E28" w:rsidR="00BF382C" w:rsidRDefault="00BF382C" w:rsidP="00BF382C">
      <w:pPr>
        <w:pStyle w:val="Caption"/>
      </w:pPr>
      <w:r>
        <w:t>Figure 4.3: Annual number of days of tornado environments in Ontario (red), using a 5-year running mean. The dashed lines above and below the red line show variations of one standard deviation.</w:t>
      </w:r>
    </w:p>
    <w:p w14:paraId="4B64A51F" w14:textId="77777777" w:rsidR="00EF2DEB" w:rsidRDefault="00EF2DEB" w:rsidP="00EF2DEB"/>
    <w:p w14:paraId="786770B9" w14:textId="335C5C00" w:rsidR="00EF2DEB" w:rsidRPr="00EF2DEB" w:rsidRDefault="00EF2DEB" w:rsidP="00EF2DEB">
      <w:pPr>
        <w:rPr>
          <w:rFonts w:asciiTheme="majorHAnsi" w:hAnsiTheme="majorHAnsi"/>
          <w:i/>
        </w:rPr>
      </w:pPr>
      <w:r w:rsidRPr="00EF2DEB">
        <w:rPr>
          <w:rFonts w:asciiTheme="majorHAnsi" w:hAnsiTheme="majorHAnsi"/>
          <w:i/>
        </w:rPr>
        <w:t>References:</w:t>
      </w:r>
    </w:p>
    <w:p w14:paraId="6F1F7604" w14:textId="47F278DA" w:rsidR="00EF2DEB" w:rsidRPr="00EF2DEB" w:rsidRDefault="00EF2DEB" w:rsidP="00EF2DEB">
      <w:pPr>
        <w:rPr>
          <w:rFonts w:asciiTheme="majorHAnsi" w:hAnsiTheme="majorHAnsi"/>
          <w:sz w:val="22"/>
          <w:szCs w:val="22"/>
        </w:rPr>
      </w:pPr>
      <w:proofErr w:type="spellStart"/>
      <w:r w:rsidRPr="00EF2DEB">
        <w:rPr>
          <w:rFonts w:asciiTheme="majorHAnsi" w:hAnsiTheme="majorHAnsi"/>
          <w:sz w:val="22"/>
          <w:szCs w:val="22"/>
        </w:rPr>
        <w:t>Changnon</w:t>
      </w:r>
      <w:proofErr w:type="spellEnd"/>
      <w:r w:rsidRPr="00EF2DEB">
        <w:rPr>
          <w:rFonts w:asciiTheme="majorHAnsi" w:hAnsiTheme="majorHAnsi"/>
          <w:sz w:val="22"/>
          <w:szCs w:val="22"/>
        </w:rPr>
        <w:t>,</w:t>
      </w:r>
      <w:r>
        <w:rPr>
          <w:rFonts w:asciiTheme="majorHAnsi" w:hAnsiTheme="majorHAnsi"/>
          <w:sz w:val="22"/>
          <w:szCs w:val="22"/>
        </w:rPr>
        <w:t xml:space="preserve"> </w:t>
      </w:r>
      <w:r w:rsidRPr="00EF2DEB">
        <w:rPr>
          <w:rFonts w:asciiTheme="majorHAnsi" w:hAnsiTheme="majorHAnsi"/>
          <w:sz w:val="22"/>
          <w:szCs w:val="22"/>
        </w:rPr>
        <w:t>S.</w:t>
      </w:r>
      <w:r>
        <w:rPr>
          <w:rFonts w:asciiTheme="majorHAnsi" w:hAnsiTheme="majorHAnsi"/>
          <w:sz w:val="22"/>
          <w:szCs w:val="22"/>
        </w:rPr>
        <w:t xml:space="preserve"> </w:t>
      </w:r>
      <w:r w:rsidRPr="00EF2DEB">
        <w:rPr>
          <w:rFonts w:asciiTheme="majorHAnsi" w:hAnsiTheme="majorHAnsi"/>
          <w:sz w:val="22"/>
          <w:szCs w:val="22"/>
        </w:rPr>
        <w:t>A.,</w:t>
      </w:r>
      <w:r>
        <w:rPr>
          <w:rFonts w:asciiTheme="majorHAnsi" w:hAnsiTheme="majorHAnsi"/>
          <w:sz w:val="22"/>
          <w:szCs w:val="22"/>
        </w:rPr>
        <w:t xml:space="preserve"> </w:t>
      </w:r>
      <w:r w:rsidRPr="00EF2DEB">
        <w:rPr>
          <w:rFonts w:asciiTheme="majorHAnsi" w:hAnsiTheme="majorHAnsi"/>
          <w:sz w:val="22"/>
          <w:szCs w:val="22"/>
        </w:rPr>
        <w:t>D.</w:t>
      </w:r>
      <w:r>
        <w:rPr>
          <w:rFonts w:asciiTheme="majorHAnsi" w:hAnsiTheme="majorHAnsi"/>
          <w:sz w:val="22"/>
          <w:szCs w:val="22"/>
        </w:rPr>
        <w:t xml:space="preserve"> </w:t>
      </w:r>
      <w:proofErr w:type="spellStart"/>
      <w:r w:rsidRPr="00EF2DEB">
        <w:rPr>
          <w:rFonts w:asciiTheme="majorHAnsi" w:hAnsiTheme="majorHAnsi"/>
          <w:sz w:val="22"/>
          <w:szCs w:val="22"/>
        </w:rPr>
        <w:t>Changnon</w:t>
      </w:r>
      <w:proofErr w:type="spellEnd"/>
      <w:r w:rsidRPr="00EF2DEB">
        <w:rPr>
          <w:rFonts w:asciiTheme="majorHAnsi" w:hAnsiTheme="majorHAnsi"/>
          <w:sz w:val="22"/>
          <w:szCs w:val="22"/>
        </w:rPr>
        <w:t>,</w:t>
      </w:r>
      <w:r>
        <w:rPr>
          <w:rFonts w:asciiTheme="majorHAnsi" w:hAnsiTheme="majorHAnsi"/>
          <w:sz w:val="22"/>
          <w:szCs w:val="22"/>
        </w:rPr>
        <w:t xml:space="preserve"> </w:t>
      </w:r>
      <w:r w:rsidRPr="00EF2DEB">
        <w:rPr>
          <w:rFonts w:asciiTheme="majorHAnsi" w:hAnsiTheme="majorHAnsi"/>
          <w:sz w:val="22"/>
          <w:szCs w:val="22"/>
        </w:rPr>
        <w:t>and</w:t>
      </w:r>
      <w:r>
        <w:rPr>
          <w:rFonts w:asciiTheme="majorHAnsi" w:hAnsiTheme="majorHAnsi"/>
          <w:sz w:val="22"/>
          <w:szCs w:val="22"/>
        </w:rPr>
        <w:t xml:space="preserve"> </w:t>
      </w:r>
      <w:r w:rsidRPr="00EF2DEB">
        <w:rPr>
          <w:rFonts w:asciiTheme="majorHAnsi" w:hAnsiTheme="majorHAnsi"/>
          <w:sz w:val="22"/>
          <w:szCs w:val="22"/>
        </w:rPr>
        <w:t>S.</w:t>
      </w:r>
      <w:r>
        <w:rPr>
          <w:rFonts w:asciiTheme="majorHAnsi" w:hAnsiTheme="majorHAnsi"/>
          <w:sz w:val="22"/>
          <w:szCs w:val="22"/>
        </w:rPr>
        <w:t xml:space="preserve"> </w:t>
      </w:r>
      <w:r w:rsidRPr="00EF2DEB">
        <w:rPr>
          <w:rFonts w:asciiTheme="majorHAnsi" w:hAnsiTheme="majorHAnsi"/>
          <w:sz w:val="22"/>
          <w:szCs w:val="22"/>
        </w:rPr>
        <w:t>D.</w:t>
      </w:r>
      <w:r>
        <w:rPr>
          <w:rFonts w:asciiTheme="majorHAnsi" w:hAnsiTheme="majorHAnsi"/>
          <w:sz w:val="22"/>
          <w:szCs w:val="22"/>
        </w:rPr>
        <w:t xml:space="preserve"> </w:t>
      </w:r>
      <w:proofErr w:type="spellStart"/>
      <w:r w:rsidRPr="00EF2DEB">
        <w:rPr>
          <w:rFonts w:asciiTheme="majorHAnsi" w:hAnsiTheme="majorHAnsi"/>
          <w:sz w:val="22"/>
          <w:szCs w:val="22"/>
        </w:rPr>
        <w:t>Hilberg</w:t>
      </w:r>
      <w:proofErr w:type="spellEnd"/>
      <w:r w:rsidRPr="00EF2DEB">
        <w:rPr>
          <w:rFonts w:asciiTheme="majorHAnsi" w:hAnsiTheme="majorHAnsi"/>
          <w:sz w:val="22"/>
          <w:szCs w:val="22"/>
        </w:rPr>
        <w:t>,</w:t>
      </w:r>
      <w:r>
        <w:rPr>
          <w:rFonts w:asciiTheme="majorHAnsi" w:hAnsiTheme="majorHAnsi"/>
          <w:sz w:val="22"/>
          <w:szCs w:val="22"/>
        </w:rPr>
        <w:t xml:space="preserve"> </w:t>
      </w:r>
      <w:r w:rsidRPr="00EF2DEB">
        <w:rPr>
          <w:rFonts w:asciiTheme="majorHAnsi" w:hAnsiTheme="majorHAnsi"/>
          <w:sz w:val="22"/>
          <w:szCs w:val="22"/>
        </w:rPr>
        <w:t>2009:</w:t>
      </w:r>
      <w:r>
        <w:rPr>
          <w:rFonts w:asciiTheme="majorHAnsi" w:hAnsiTheme="majorHAnsi"/>
          <w:sz w:val="22"/>
          <w:szCs w:val="22"/>
        </w:rPr>
        <w:t xml:space="preserve"> </w:t>
      </w:r>
      <w:r w:rsidRPr="00EF2DEB">
        <w:rPr>
          <w:rFonts w:asciiTheme="majorHAnsi" w:hAnsiTheme="majorHAnsi"/>
          <w:sz w:val="22"/>
          <w:szCs w:val="22"/>
        </w:rPr>
        <w:t>Hailstorms</w:t>
      </w:r>
      <w:r>
        <w:rPr>
          <w:rFonts w:asciiTheme="majorHAnsi" w:hAnsiTheme="majorHAnsi"/>
          <w:sz w:val="22"/>
          <w:szCs w:val="22"/>
        </w:rPr>
        <w:t xml:space="preserve"> </w:t>
      </w:r>
      <w:r w:rsidRPr="00EF2DEB">
        <w:rPr>
          <w:rFonts w:asciiTheme="majorHAnsi" w:hAnsiTheme="majorHAnsi"/>
          <w:sz w:val="22"/>
          <w:szCs w:val="22"/>
        </w:rPr>
        <w:t>Across</w:t>
      </w:r>
      <w:r>
        <w:rPr>
          <w:rFonts w:asciiTheme="majorHAnsi" w:hAnsiTheme="majorHAnsi"/>
          <w:sz w:val="22"/>
          <w:szCs w:val="22"/>
        </w:rPr>
        <w:t xml:space="preserve"> </w:t>
      </w:r>
      <w:r w:rsidRPr="00EF2DEB">
        <w:rPr>
          <w:rFonts w:asciiTheme="majorHAnsi" w:hAnsiTheme="majorHAnsi"/>
          <w:sz w:val="22"/>
          <w:szCs w:val="22"/>
        </w:rPr>
        <w:t>the</w:t>
      </w:r>
      <w:r>
        <w:rPr>
          <w:rFonts w:asciiTheme="majorHAnsi" w:hAnsiTheme="majorHAnsi"/>
          <w:sz w:val="22"/>
          <w:szCs w:val="22"/>
        </w:rPr>
        <w:t xml:space="preserve"> </w:t>
      </w:r>
      <w:r w:rsidRPr="00EF2DEB">
        <w:rPr>
          <w:rFonts w:asciiTheme="majorHAnsi" w:hAnsiTheme="majorHAnsi"/>
          <w:sz w:val="22"/>
          <w:szCs w:val="22"/>
        </w:rPr>
        <w:t>Nation:</w:t>
      </w:r>
      <w:r>
        <w:rPr>
          <w:rFonts w:asciiTheme="majorHAnsi" w:hAnsiTheme="majorHAnsi"/>
          <w:sz w:val="22"/>
          <w:szCs w:val="22"/>
        </w:rPr>
        <w:t xml:space="preserve"> </w:t>
      </w:r>
      <w:r w:rsidRPr="00EF2DEB">
        <w:rPr>
          <w:rFonts w:asciiTheme="majorHAnsi" w:hAnsiTheme="majorHAnsi"/>
          <w:sz w:val="22"/>
          <w:szCs w:val="22"/>
        </w:rPr>
        <w:t>An</w:t>
      </w:r>
      <w:r>
        <w:rPr>
          <w:rFonts w:asciiTheme="majorHAnsi" w:hAnsiTheme="majorHAnsi"/>
          <w:sz w:val="22"/>
          <w:szCs w:val="22"/>
        </w:rPr>
        <w:t xml:space="preserve"> </w:t>
      </w:r>
      <w:r w:rsidRPr="00EF2DEB">
        <w:rPr>
          <w:rFonts w:asciiTheme="majorHAnsi" w:hAnsiTheme="majorHAnsi"/>
          <w:sz w:val="22"/>
          <w:szCs w:val="22"/>
        </w:rPr>
        <w:t>Atlas</w:t>
      </w:r>
      <w:r>
        <w:rPr>
          <w:rFonts w:asciiTheme="majorHAnsi" w:hAnsiTheme="majorHAnsi"/>
          <w:sz w:val="22"/>
          <w:szCs w:val="22"/>
        </w:rPr>
        <w:t xml:space="preserve"> </w:t>
      </w:r>
      <w:r w:rsidRPr="00EF2DEB">
        <w:rPr>
          <w:rFonts w:asciiTheme="majorHAnsi" w:hAnsiTheme="majorHAnsi"/>
          <w:sz w:val="22"/>
          <w:szCs w:val="22"/>
        </w:rPr>
        <w:t>about</w:t>
      </w:r>
      <w:r>
        <w:rPr>
          <w:rFonts w:asciiTheme="majorHAnsi" w:hAnsiTheme="majorHAnsi"/>
          <w:sz w:val="22"/>
          <w:szCs w:val="22"/>
        </w:rPr>
        <w:t xml:space="preserve"> </w:t>
      </w:r>
      <w:r w:rsidRPr="00EF2DEB">
        <w:rPr>
          <w:rFonts w:asciiTheme="majorHAnsi" w:hAnsiTheme="majorHAnsi"/>
          <w:sz w:val="22"/>
          <w:szCs w:val="22"/>
        </w:rPr>
        <w:t>Hail</w:t>
      </w:r>
      <w:r w:rsidR="002C402B">
        <w:rPr>
          <w:rFonts w:asciiTheme="majorHAnsi" w:hAnsiTheme="majorHAnsi"/>
          <w:sz w:val="22"/>
          <w:szCs w:val="22"/>
        </w:rPr>
        <w:t xml:space="preserve"> </w:t>
      </w:r>
      <w:r w:rsidRPr="00EF2DEB">
        <w:rPr>
          <w:rFonts w:asciiTheme="majorHAnsi" w:hAnsiTheme="majorHAnsi"/>
          <w:sz w:val="22"/>
          <w:szCs w:val="22"/>
        </w:rPr>
        <w:t>and</w:t>
      </w:r>
      <w:r w:rsidR="002C402B">
        <w:rPr>
          <w:rFonts w:asciiTheme="majorHAnsi" w:hAnsiTheme="majorHAnsi"/>
          <w:sz w:val="22"/>
          <w:szCs w:val="22"/>
        </w:rPr>
        <w:t xml:space="preserve"> </w:t>
      </w:r>
      <w:r w:rsidRPr="00EF2DEB">
        <w:rPr>
          <w:rFonts w:asciiTheme="majorHAnsi" w:hAnsiTheme="majorHAnsi"/>
          <w:sz w:val="22"/>
          <w:szCs w:val="22"/>
        </w:rPr>
        <w:t>its</w:t>
      </w:r>
      <w:r w:rsidR="002C402B">
        <w:rPr>
          <w:rFonts w:asciiTheme="majorHAnsi" w:hAnsiTheme="majorHAnsi"/>
          <w:sz w:val="22"/>
          <w:szCs w:val="22"/>
        </w:rPr>
        <w:t xml:space="preserve"> </w:t>
      </w:r>
      <w:r w:rsidRPr="00EF2DEB">
        <w:rPr>
          <w:rFonts w:asciiTheme="majorHAnsi" w:hAnsiTheme="majorHAnsi"/>
          <w:sz w:val="22"/>
          <w:szCs w:val="22"/>
        </w:rPr>
        <w:t>Damages.</w:t>
      </w:r>
      <w:r w:rsidR="002C402B">
        <w:rPr>
          <w:rFonts w:asciiTheme="majorHAnsi" w:hAnsiTheme="majorHAnsi"/>
          <w:sz w:val="22"/>
          <w:szCs w:val="22"/>
        </w:rPr>
        <w:t xml:space="preserve"> </w:t>
      </w:r>
      <w:r w:rsidRPr="00EF2DEB">
        <w:rPr>
          <w:rFonts w:asciiTheme="majorHAnsi" w:hAnsiTheme="majorHAnsi"/>
          <w:sz w:val="22"/>
          <w:szCs w:val="22"/>
        </w:rPr>
        <w:t>Published</w:t>
      </w:r>
      <w:r w:rsidR="002C402B">
        <w:rPr>
          <w:rFonts w:asciiTheme="majorHAnsi" w:hAnsiTheme="majorHAnsi"/>
          <w:sz w:val="22"/>
          <w:szCs w:val="22"/>
        </w:rPr>
        <w:t xml:space="preserve"> </w:t>
      </w:r>
      <w:r w:rsidRPr="00EF2DEB">
        <w:rPr>
          <w:rFonts w:asciiTheme="majorHAnsi" w:hAnsiTheme="majorHAnsi"/>
          <w:sz w:val="22"/>
          <w:szCs w:val="22"/>
        </w:rPr>
        <w:t>by</w:t>
      </w:r>
      <w:r w:rsidR="002C402B">
        <w:rPr>
          <w:rFonts w:asciiTheme="majorHAnsi" w:hAnsiTheme="majorHAnsi"/>
          <w:sz w:val="22"/>
          <w:szCs w:val="22"/>
        </w:rPr>
        <w:t xml:space="preserve"> </w:t>
      </w:r>
      <w:r w:rsidRPr="00EF2DEB">
        <w:rPr>
          <w:rFonts w:asciiTheme="majorHAnsi" w:hAnsiTheme="majorHAnsi"/>
          <w:sz w:val="22"/>
          <w:szCs w:val="22"/>
        </w:rPr>
        <w:t>the</w:t>
      </w:r>
      <w:r w:rsidR="002C402B">
        <w:rPr>
          <w:rFonts w:asciiTheme="majorHAnsi" w:hAnsiTheme="majorHAnsi"/>
          <w:sz w:val="22"/>
          <w:szCs w:val="22"/>
        </w:rPr>
        <w:t xml:space="preserve"> </w:t>
      </w:r>
      <w:r w:rsidRPr="00EF2DEB">
        <w:rPr>
          <w:rFonts w:asciiTheme="majorHAnsi" w:hAnsiTheme="majorHAnsi"/>
          <w:sz w:val="22"/>
          <w:szCs w:val="22"/>
        </w:rPr>
        <w:t>Midwestern</w:t>
      </w:r>
      <w:r w:rsidR="002C402B">
        <w:rPr>
          <w:rFonts w:asciiTheme="majorHAnsi" w:hAnsiTheme="majorHAnsi"/>
          <w:sz w:val="22"/>
          <w:szCs w:val="22"/>
        </w:rPr>
        <w:t xml:space="preserve"> </w:t>
      </w:r>
      <w:r w:rsidRPr="00EF2DEB">
        <w:rPr>
          <w:rFonts w:asciiTheme="majorHAnsi" w:hAnsiTheme="majorHAnsi"/>
          <w:sz w:val="22"/>
          <w:szCs w:val="22"/>
        </w:rPr>
        <w:t>Regional</w:t>
      </w:r>
      <w:r w:rsidR="002C402B">
        <w:rPr>
          <w:rFonts w:asciiTheme="majorHAnsi" w:hAnsiTheme="majorHAnsi"/>
          <w:sz w:val="22"/>
          <w:szCs w:val="22"/>
        </w:rPr>
        <w:t xml:space="preserve"> </w:t>
      </w:r>
      <w:r w:rsidRPr="00EF2DEB">
        <w:rPr>
          <w:rFonts w:asciiTheme="majorHAnsi" w:hAnsiTheme="majorHAnsi"/>
          <w:sz w:val="22"/>
          <w:szCs w:val="22"/>
        </w:rPr>
        <w:t>Climate</w:t>
      </w:r>
      <w:r w:rsidR="002C402B">
        <w:rPr>
          <w:rFonts w:asciiTheme="majorHAnsi" w:hAnsiTheme="majorHAnsi"/>
          <w:sz w:val="22"/>
          <w:szCs w:val="22"/>
        </w:rPr>
        <w:t xml:space="preserve"> </w:t>
      </w:r>
      <w:r w:rsidRPr="00EF2DEB">
        <w:rPr>
          <w:rFonts w:asciiTheme="majorHAnsi" w:hAnsiTheme="majorHAnsi"/>
          <w:sz w:val="22"/>
          <w:szCs w:val="22"/>
        </w:rPr>
        <w:t>Center.</w:t>
      </w:r>
      <w:r w:rsidR="002C402B">
        <w:rPr>
          <w:rFonts w:asciiTheme="majorHAnsi" w:hAnsiTheme="majorHAnsi"/>
          <w:sz w:val="22"/>
          <w:szCs w:val="22"/>
        </w:rPr>
        <w:t xml:space="preserve"> </w:t>
      </w:r>
      <w:r w:rsidRPr="00EF2DEB">
        <w:rPr>
          <w:rFonts w:asciiTheme="majorHAnsi" w:hAnsiTheme="majorHAnsi"/>
          <w:sz w:val="22"/>
          <w:szCs w:val="22"/>
        </w:rPr>
        <w:t>92</w:t>
      </w:r>
      <w:r w:rsidR="002C402B">
        <w:rPr>
          <w:rFonts w:asciiTheme="majorHAnsi" w:hAnsiTheme="majorHAnsi"/>
          <w:sz w:val="22"/>
          <w:szCs w:val="22"/>
        </w:rPr>
        <w:t xml:space="preserve"> </w:t>
      </w:r>
      <w:r w:rsidRPr="00EF2DEB">
        <w:rPr>
          <w:rFonts w:asciiTheme="majorHAnsi" w:hAnsiTheme="majorHAnsi"/>
          <w:sz w:val="22"/>
          <w:szCs w:val="22"/>
        </w:rPr>
        <w:t>pp.</w:t>
      </w:r>
    </w:p>
    <w:sectPr w:rsidR="00EF2DEB" w:rsidRPr="00EF2DEB" w:rsidSect="00211D4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A3C9B" w14:textId="77777777" w:rsidR="009413A7" w:rsidRDefault="009413A7" w:rsidP="00AA594F">
      <w:r>
        <w:separator/>
      </w:r>
    </w:p>
  </w:endnote>
  <w:endnote w:type="continuationSeparator" w:id="0">
    <w:p w14:paraId="1B663E6C" w14:textId="77777777" w:rsidR="009413A7" w:rsidRDefault="009413A7" w:rsidP="00AA5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BFAB8" w14:textId="77777777" w:rsidR="009413A7" w:rsidRDefault="009413A7" w:rsidP="00AA594F">
      <w:r>
        <w:separator/>
      </w:r>
    </w:p>
  </w:footnote>
  <w:footnote w:type="continuationSeparator" w:id="0">
    <w:p w14:paraId="64F2F2B2" w14:textId="77777777" w:rsidR="009413A7" w:rsidRDefault="009413A7" w:rsidP="00AA594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7004C"/>
    <w:multiLevelType w:val="hybridMultilevel"/>
    <w:tmpl w:val="1F126BB4"/>
    <w:lvl w:ilvl="0" w:tplc="A3BCEC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995083"/>
    <w:multiLevelType w:val="hybridMultilevel"/>
    <w:tmpl w:val="DB746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A230DC"/>
    <w:multiLevelType w:val="hybridMultilevel"/>
    <w:tmpl w:val="7D6ADD16"/>
    <w:lvl w:ilvl="0" w:tplc="FF0E6E0E">
      <w:start w:val="1"/>
      <w:numFmt w:val="lowerLetter"/>
      <w:lvlText w:val="(%1)"/>
      <w:lvlJc w:val="left"/>
      <w:pPr>
        <w:ind w:left="1780" w:hanging="10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D4D"/>
    <w:rsid w:val="00021BD6"/>
    <w:rsid w:val="00043B6E"/>
    <w:rsid w:val="00071E92"/>
    <w:rsid w:val="00077EC2"/>
    <w:rsid w:val="00090B9B"/>
    <w:rsid w:val="000C7ABA"/>
    <w:rsid w:val="000E7133"/>
    <w:rsid w:val="000F278F"/>
    <w:rsid w:val="00101CDE"/>
    <w:rsid w:val="00102C06"/>
    <w:rsid w:val="001057C4"/>
    <w:rsid w:val="00105C93"/>
    <w:rsid w:val="001155D5"/>
    <w:rsid w:val="00116AE6"/>
    <w:rsid w:val="001176EE"/>
    <w:rsid w:val="00141A53"/>
    <w:rsid w:val="00143B66"/>
    <w:rsid w:val="001473C3"/>
    <w:rsid w:val="0016342A"/>
    <w:rsid w:val="00181E9B"/>
    <w:rsid w:val="001821E6"/>
    <w:rsid w:val="001A2295"/>
    <w:rsid w:val="001A5253"/>
    <w:rsid w:val="001C2D16"/>
    <w:rsid w:val="001D74F9"/>
    <w:rsid w:val="00211D4D"/>
    <w:rsid w:val="0021624F"/>
    <w:rsid w:val="00232EE2"/>
    <w:rsid w:val="00234FD2"/>
    <w:rsid w:val="00255F31"/>
    <w:rsid w:val="00262E4D"/>
    <w:rsid w:val="002674FF"/>
    <w:rsid w:val="00267759"/>
    <w:rsid w:val="00270D25"/>
    <w:rsid w:val="00274F74"/>
    <w:rsid w:val="002923C5"/>
    <w:rsid w:val="002B482C"/>
    <w:rsid w:val="002C402B"/>
    <w:rsid w:val="002D2DD5"/>
    <w:rsid w:val="002D6359"/>
    <w:rsid w:val="002E54DB"/>
    <w:rsid w:val="003066B1"/>
    <w:rsid w:val="00306BF9"/>
    <w:rsid w:val="00310E29"/>
    <w:rsid w:val="003238DB"/>
    <w:rsid w:val="003802DF"/>
    <w:rsid w:val="0039155A"/>
    <w:rsid w:val="003967E6"/>
    <w:rsid w:val="003A00E0"/>
    <w:rsid w:val="003A2233"/>
    <w:rsid w:val="003F243E"/>
    <w:rsid w:val="00414D11"/>
    <w:rsid w:val="00436DDF"/>
    <w:rsid w:val="0044578B"/>
    <w:rsid w:val="00454755"/>
    <w:rsid w:val="00474853"/>
    <w:rsid w:val="00474E8C"/>
    <w:rsid w:val="00493B2C"/>
    <w:rsid w:val="00497901"/>
    <w:rsid w:val="004A43EB"/>
    <w:rsid w:val="004B1F95"/>
    <w:rsid w:val="004B59D1"/>
    <w:rsid w:val="004E0A08"/>
    <w:rsid w:val="004E3021"/>
    <w:rsid w:val="0051250C"/>
    <w:rsid w:val="00525552"/>
    <w:rsid w:val="005631DE"/>
    <w:rsid w:val="00564AF9"/>
    <w:rsid w:val="00565B99"/>
    <w:rsid w:val="00567068"/>
    <w:rsid w:val="005674D9"/>
    <w:rsid w:val="005B379D"/>
    <w:rsid w:val="005C0139"/>
    <w:rsid w:val="005C3A2F"/>
    <w:rsid w:val="005C6E51"/>
    <w:rsid w:val="005D0F7E"/>
    <w:rsid w:val="005F1B4E"/>
    <w:rsid w:val="005F583B"/>
    <w:rsid w:val="006043BA"/>
    <w:rsid w:val="006243CB"/>
    <w:rsid w:val="00631064"/>
    <w:rsid w:val="0063539D"/>
    <w:rsid w:val="0063658B"/>
    <w:rsid w:val="006444F7"/>
    <w:rsid w:val="0065645D"/>
    <w:rsid w:val="00686E97"/>
    <w:rsid w:val="006874A3"/>
    <w:rsid w:val="0069054B"/>
    <w:rsid w:val="006B2D4C"/>
    <w:rsid w:val="006B501B"/>
    <w:rsid w:val="006B6C77"/>
    <w:rsid w:val="006F01AF"/>
    <w:rsid w:val="006F095D"/>
    <w:rsid w:val="00700832"/>
    <w:rsid w:val="007102BA"/>
    <w:rsid w:val="00715469"/>
    <w:rsid w:val="00725766"/>
    <w:rsid w:val="00730295"/>
    <w:rsid w:val="007439C8"/>
    <w:rsid w:val="00761125"/>
    <w:rsid w:val="0076716F"/>
    <w:rsid w:val="00780E2C"/>
    <w:rsid w:val="00783371"/>
    <w:rsid w:val="00784FE0"/>
    <w:rsid w:val="00787728"/>
    <w:rsid w:val="007A39BD"/>
    <w:rsid w:val="007B1A3A"/>
    <w:rsid w:val="007E03C0"/>
    <w:rsid w:val="007E063A"/>
    <w:rsid w:val="007E1F04"/>
    <w:rsid w:val="007F2677"/>
    <w:rsid w:val="0080374E"/>
    <w:rsid w:val="00813CE5"/>
    <w:rsid w:val="0083240F"/>
    <w:rsid w:val="00846A4A"/>
    <w:rsid w:val="0086001F"/>
    <w:rsid w:val="008621AB"/>
    <w:rsid w:val="00880B87"/>
    <w:rsid w:val="00885963"/>
    <w:rsid w:val="00890546"/>
    <w:rsid w:val="0089502E"/>
    <w:rsid w:val="008C7CF8"/>
    <w:rsid w:val="00905E48"/>
    <w:rsid w:val="00930FB8"/>
    <w:rsid w:val="009413A7"/>
    <w:rsid w:val="00943023"/>
    <w:rsid w:val="0096196D"/>
    <w:rsid w:val="0096215D"/>
    <w:rsid w:val="00975812"/>
    <w:rsid w:val="0099315E"/>
    <w:rsid w:val="00993767"/>
    <w:rsid w:val="009D7564"/>
    <w:rsid w:val="009E4E5F"/>
    <w:rsid w:val="009E5503"/>
    <w:rsid w:val="00A01A8C"/>
    <w:rsid w:val="00A306DD"/>
    <w:rsid w:val="00A5463C"/>
    <w:rsid w:val="00A56401"/>
    <w:rsid w:val="00A624B4"/>
    <w:rsid w:val="00A650A1"/>
    <w:rsid w:val="00A77018"/>
    <w:rsid w:val="00A85D0F"/>
    <w:rsid w:val="00AA594F"/>
    <w:rsid w:val="00AC47DF"/>
    <w:rsid w:val="00AD6330"/>
    <w:rsid w:val="00B0511A"/>
    <w:rsid w:val="00B221A7"/>
    <w:rsid w:val="00B27D49"/>
    <w:rsid w:val="00BC08AB"/>
    <w:rsid w:val="00BC30AD"/>
    <w:rsid w:val="00BC32D1"/>
    <w:rsid w:val="00BF382C"/>
    <w:rsid w:val="00C15884"/>
    <w:rsid w:val="00C16A5A"/>
    <w:rsid w:val="00C46E4B"/>
    <w:rsid w:val="00C475C9"/>
    <w:rsid w:val="00C522C8"/>
    <w:rsid w:val="00C761C9"/>
    <w:rsid w:val="00C84D48"/>
    <w:rsid w:val="00C91B03"/>
    <w:rsid w:val="00C9434A"/>
    <w:rsid w:val="00CA233E"/>
    <w:rsid w:val="00CB2F6F"/>
    <w:rsid w:val="00CC1B89"/>
    <w:rsid w:val="00CC5319"/>
    <w:rsid w:val="00CF5EB8"/>
    <w:rsid w:val="00D0395A"/>
    <w:rsid w:val="00D05FC5"/>
    <w:rsid w:val="00D07C12"/>
    <w:rsid w:val="00D10178"/>
    <w:rsid w:val="00D2610E"/>
    <w:rsid w:val="00D27B95"/>
    <w:rsid w:val="00D353F0"/>
    <w:rsid w:val="00D460FA"/>
    <w:rsid w:val="00D51FC2"/>
    <w:rsid w:val="00D61916"/>
    <w:rsid w:val="00D61CF8"/>
    <w:rsid w:val="00D61E15"/>
    <w:rsid w:val="00D83B2D"/>
    <w:rsid w:val="00D9146B"/>
    <w:rsid w:val="00D92D60"/>
    <w:rsid w:val="00D969AB"/>
    <w:rsid w:val="00DB0876"/>
    <w:rsid w:val="00DC6D82"/>
    <w:rsid w:val="00DD1CF4"/>
    <w:rsid w:val="00DD3BCC"/>
    <w:rsid w:val="00DE23AE"/>
    <w:rsid w:val="00DF4B15"/>
    <w:rsid w:val="00E12008"/>
    <w:rsid w:val="00E136DD"/>
    <w:rsid w:val="00E56CC8"/>
    <w:rsid w:val="00E63A00"/>
    <w:rsid w:val="00E86457"/>
    <w:rsid w:val="00EA0AA9"/>
    <w:rsid w:val="00EB319B"/>
    <w:rsid w:val="00EB519D"/>
    <w:rsid w:val="00EC6105"/>
    <w:rsid w:val="00ED00AF"/>
    <w:rsid w:val="00ED232A"/>
    <w:rsid w:val="00EF2DEB"/>
    <w:rsid w:val="00F179B8"/>
    <w:rsid w:val="00F33897"/>
    <w:rsid w:val="00F349AC"/>
    <w:rsid w:val="00F364DE"/>
    <w:rsid w:val="00F40620"/>
    <w:rsid w:val="00F454EF"/>
    <w:rsid w:val="00F5078B"/>
    <w:rsid w:val="00F5318B"/>
    <w:rsid w:val="00F9592E"/>
    <w:rsid w:val="00F9680B"/>
    <w:rsid w:val="00F9789D"/>
    <w:rsid w:val="00FF213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CD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9BD"/>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10E"/>
    <w:pPr>
      <w:ind w:left="720"/>
      <w:contextualSpacing/>
    </w:pPr>
  </w:style>
  <w:style w:type="character" w:customStyle="1" w:styleId="author">
    <w:name w:val="author"/>
    <w:basedOn w:val="DefaultParagraphFont"/>
    <w:rsid w:val="0063539D"/>
  </w:style>
  <w:style w:type="character" w:customStyle="1" w:styleId="apple-converted-space">
    <w:name w:val="apple-converted-space"/>
    <w:basedOn w:val="DefaultParagraphFont"/>
    <w:rsid w:val="0063539D"/>
  </w:style>
  <w:style w:type="character" w:customStyle="1" w:styleId="articletitle">
    <w:name w:val="articletitle"/>
    <w:basedOn w:val="DefaultParagraphFont"/>
    <w:rsid w:val="0063539D"/>
  </w:style>
  <w:style w:type="character" w:customStyle="1" w:styleId="journaltitle">
    <w:name w:val="journaltitle"/>
    <w:basedOn w:val="DefaultParagraphFont"/>
    <w:rsid w:val="0063539D"/>
  </w:style>
  <w:style w:type="character" w:customStyle="1" w:styleId="pubyear">
    <w:name w:val="pubyear"/>
    <w:basedOn w:val="DefaultParagraphFont"/>
    <w:rsid w:val="0063539D"/>
  </w:style>
  <w:style w:type="character" w:customStyle="1" w:styleId="vol">
    <w:name w:val="vol"/>
    <w:basedOn w:val="DefaultParagraphFont"/>
    <w:rsid w:val="0063539D"/>
  </w:style>
  <w:style w:type="character" w:customStyle="1" w:styleId="pagefirst">
    <w:name w:val="pagefirst"/>
    <w:basedOn w:val="DefaultParagraphFont"/>
    <w:rsid w:val="0063539D"/>
  </w:style>
  <w:style w:type="character" w:customStyle="1" w:styleId="issue">
    <w:name w:val="issue"/>
    <w:basedOn w:val="DefaultParagraphFont"/>
    <w:rsid w:val="0063539D"/>
  </w:style>
  <w:style w:type="paragraph" w:styleId="BalloonText">
    <w:name w:val="Balloon Text"/>
    <w:basedOn w:val="Normal"/>
    <w:link w:val="BalloonTextChar"/>
    <w:uiPriority w:val="99"/>
    <w:semiHidden/>
    <w:unhideWhenUsed/>
    <w:rsid w:val="009E55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5503"/>
    <w:rPr>
      <w:rFonts w:ascii="Lucida Grande" w:hAnsi="Lucida Grande" w:cs="Lucida Grande"/>
      <w:sz w:val="18"/>
      <w:szCs w:val="18"/>
    </w:rPr>
  </w:style>
  <w:style w:type="character" w:styleId="Hyperlink">
    <w:name w:val="Hyperlink"/>
    <w:basedOn w:val="DefaultParagraphFont"/>
    <w:uiPriority w:val="99"/>
    <w:unhideWhenUsed/>
    <w:rsid w:val="00AA594F"/>
    <w:rPr>
      <w:color w:val="0000FF" w:themeColor="hyperlink"/>
      <w:u w:val="single"/>
    </w:rPr>
  </w:style>
  <w:style w:type="paragraph" w:styleId="FootnoteText">
    <w:name w:val="footnote text"/>
    <w:basedOn w:val="Normal"/>
    <w:link w:val="FootnoteTextChar"/>
    <w:uiPriority w:val="99"/>
    <w:unhideWhenUsed/>
    <w:rsid w:val="00AA594F"/>
  </w:style>
  <w:style w:type="character" w:customStyle="1" w:styleId="FootnoteTextChar">
    <w:name w:val="Footnote Text Char"/>
    <w:basedOn w:val="DefaultParagraphFont"/>
    <w:link w:val="FootnoteText"/>
    <w:uiPriority w:val="99"/>
    <w:rsid w:val="00AA594F"/>
    <w:rPr>
      <w:rFonts w:ascii="Times New Roman" w:hAnsi="Times New Roman"/>
    </w:rPr>
  </w:style>
  <w:style w:type="character" w:styleId="FootnoteReference">
    <w:name w:val="footnote reference"/>
    <w:basedOn w:val="DefaultParagraphFont"/>
    <w:uiPriority w:val="99"/>
    <w:unhideWhenUsed/>
    <w:rsid w:val="00AA594F"/>
    <w:rPr>
      <w:vertAlign w:val="superscript"/>
    </w:rPr>
  </w:style>
  <w:style w:type="paragraph" w:styleId="NormalWeb">
    <w:name w:val="Normal (Web)"/>
    <w:basedOn w:val="Normal"/>
    <w:uiPriority w:val="99"/>
    <w:semiHidden/>
    <w:unhideWhenUsed/>
    <w:rsid w:val="00C46E4B"/>
    <w:pPr>
      <w:spacing w:before="100" w:beforeAutospacing="1" w:after="100" w:afterAutospacing="1"/>
    </w:pPr>
    <w:rPr>
      <w:rFonts w:ascii="Times" w:hAnsi="Times" w:cs="Times New Roman"/>
      <w:sz w:val="20"/>
      <w:szCs w:val="20"/>
      <w:lang w:eastAsia="en-US"/>
    </w:rPr>
  </w:style>
  <w:style w:type="paragraph" w:styleId="Caption">
    <w:name w:val="caption"/>
    <w:basedOn w:val="Normal"/>
    <w:next w:val="Normal"/>
    <w:uiPriority w:val="35"/>
    <w:unhideWhenUsed/>
    <w:qFormat/>
    <w:rsid w:val="006F01AF"/>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9BD"/>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10E"/>
    <w:pPr>
      <w:ind w:left="720"/>
      <w:contextualSpacing/>
    </w:pPr>
  </w:style>
  <w:style w:type="character" w:customStyle="1" w:styleId="author">
    <w:name w:val="author"/>
    <w:basedOn w:val="DefaultParagraphFont"/>
    <w:rsid w:val="0063539D"/>
  </w:style>
  <w:style w:type="character" w:customStyle="1" w:styleId="apple-converted-space">
    <w:name w:val="apple-converted-space"/>
    <w:basedOn w:val="DefaultParagraphFont"/>
    <w:rsid w:val="0063539D"/>
  </w:style>
  <w:style w:type="character" w:customStyle="1" w:styleId="articletitle">
    <w:name w:val="articletitle"/>
    <w:basedOn w:val="DefaultParagraphFont"/>
    <w:rsid w:val="0063539D"/>
  </w:style>
  <w:style w:type="character" w:customStyle="1" w:styleId="journaltitle">
    <w:name w:val="journaltitle"/>
    <w:basedOn w:val="DefaultParagraphFont"/>
    <w:rsid w:val="0063539D"/>
  </w:style>
  <w:style w:type="character" w:customStyle="1" w:styleId="pubyear">
    <w:name w:val="pubyear"/>
    <w:basedOn w:val="DefaultParagraphFont"/>
    <w:rsid w:val="0063539D"/>
  </w:style>
  <w:style w:type="character" w:customStyle="1" w:styleId="vol">
    <w:name w:val="vol"/>
    <w:basedOn w:val="DefaultParagraphFont"/>
    <w:rsid w:val="0063539D"/>
  </w:style>
  <w:style w:type="character" w:customStyle="1" w:styleId="pagefirst">
    <w:name w:val="pagefirst"/>
    <w:basedOn w:val="DefaultParagraphFont"/>
    <w:rsid w:val="0063539D"/>
  </w:style>
  <w:style w:type="character" w:customStyle="1" w:styleId="issue">
    <w:name w:val="issue"/>
    <w:basedOn w:val="DefaultParagraphFont"/>
    <w:rsid w:val="0063539D"/>
  </w:style>
  <w:style w:type="paragraph" w:styleId="BalloonText">
    <w:name w:val="Balloon Text"/>
    <w:basedOn w:val="Normal"/>
    <w:link w:val="BalloonTextChar"/>
    <w:uiPriority w:val="99"/>
    <w:semiHidden/>
    <w:unhideWhenUsed/>
    <w:rsid w:val="009E55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5503"/>
    <w:rPr>
      <w:rFonts w:ascii="Lucida Grande" w:hAnsi="Lucida Grande" w:cs="Lucida Grande"/>
      <w:sz w:val="18"/>
      <w:szCs w:val="18"/>
    </w:rPr>
  </w:style>
  <w:style w:type="character" w:styleId="Hyperlink">
    <w:name w:val="Hyperlink"/>
    <w:basedOn w:val="DefaultParagraphFont"/>
    <w:uiPriority w:val="99"/>
    <w:unhideWhenUsed/>
    <w:rsid w:val="00AA594F"/>
    <w:rPr>
      <w:color w:val="0000FF" w:themeColor="hyperlink"/>
      <w:u w:val="single"/>
    </w:rPr>
  </w:style>
  <w:style w:type="paragraph" w:styleId="FootnoteText">
    <w:name w:val="footnote text"/>
    <w:basedOn w:val="Normal"/>
    <w:link w:val="FootnoteTextChar"/>
    <w:uiPriority w:val="99"/>
    <w:unhideWhenUsed/>
    <w:rsid w:val="00AA594F"/>
  </w:style>
  <w:style w:type="character" w:customStyle="1" w:styleId="FootnoteTextChar">
    <w:name w:val="Footnote Text Char"/>
    <w:basedOn w:val="DefaultParagraphFont"/>
    <w:link w:val="FootnoteText"/>
    <w:uiPriority w:val="99"/>
    <w:rsid w:val="00AA594F"/>
    <w:rPr>
      <w:rFonts w:ascii="Times New Roman" w:hAnsi="Times New Roman"/>
    </w:rPr>
  </w:style>
  <w:style w:type="character" w:styleId="FootnoteReference">
    <w:name w:val="footnote reference"/>
    <w:basedOn w:val="DefaultParagraphFont"/>
    <w:uiPriority w:val="99"/>
    <w:unhideWhenUsed/>
    <w:rsid w:val="00AA594F"/>
    <w:rPr>
      <w:vertAlign w:val="superscript"/>
    </w:rPr>
  </w:style>
  <w:style w:type="paragraph" w:styleId="NormalWeb">
    <w:name w:val="Normal (Web)"/>
    <w:basedOn w:val="Normal"/>
    <w:uiPriority w:val="99"/>
    <w:semiHidden/>
    <w:unhideWhenUsed/>
    <w:rsid w:val="00C46E4B"/>
    <w:pPr>
      <w:spacing w:before="100" w:beforeAutospacing="1" w:after="100" w:afterAutospacing="1"/>
    </w:pPr>
    <w:rPr>
      <w:rFonts w:ascii="Times" w:hAnsi="Times" w:cs="Times New Roman"/>
      <w:sz w:val="20"/>
      <w:szCs w:val="20"/>
      <w:lang w:eastAsia="en-US"/>
    </w:rPr>
  </w:style>
  <w:style w:type="paragraph" w:styleId="Caption">
    <w:name w:val="caption"/>
    <w:basedOn w:val="Normal"/>
    <w:next w:val="Normal"/>
    <w:uiPriority w:val="35"/>
    <w:unhideWhenUsed/>
    <w:qFormat/>
    <w:rsid w:val="006F01A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6453">
      <w:bodyDiv w:val="1"/>
      <w:marLeft w:val="0"/>
      <w:marRight w:val="0"/>
      <w:marTop w:val="0"/>
      <w:marBottom w:val="0"/>
      <w:divBdr>
        <w:top w:val="none" w:sz="0" w:space="0" w:color="auto"/>
        <w:left w:val="none" w:sz="0" w:space="0" w:color="auto"/>
        <w:bottom w:val="none" w:sz="0" w:space="0" w:color="auto"/>
        <w:right w:val="none" w:sz="0" w:space="0" w:color="auto"/>
      </w:divBdr>
    </w:div>
    <w:div w:id="598875523">
      <w:bodyDiv w:val="1"/>
      <w:marLeft w:val="0"/>
      <w:marRight w:val="0"/>
      <w:marTop w:val="0"/>
      <w:marBottom w:val="0"/>
      <w:divBdr>
        <w:top w:val="none" w:sz="0" w:space="0" w:color="auto"/>
        <w:left w:val="none" w:sz="0" w:space="0" w:color="auto"/>
        <w:bottom w:val="none" w:sz="0" w:space="0" w:color="auto"/>
        <w:right w:val="none" w:sz="0" w:space="0" w:color="auto"/>
      </w:divBdr>
    </w:div>
    <w:div w:id="602303218">
      <w:bodyDiv w:val="1"/>
      <w:marLeft w:val="0"/>
      <w:marRight w:val="0"/>
      <w:marTop w:val="0"/>
      <w:marBottom w:val="0"/>
      <w:divBdr>
        <w:top w:val="none" w:sz="0" w:space="0" w:color="auto"/>
        <w:left w:val="none" w:sz="0" w:space="0" w:color="auto"/>
        <w:bottom w:val="none" w:sz="0" w:space="0" w:color="auto"/>
        <w:right w:val="none" w:sz="0" w:space="0" w:color="auto"/>
      </w:divBdr>
    </w:div>
    <w:div w:id="880557762">
      <w:bodyDiv w:val="1"/>
      <w:marLeft w:val="0"/>
      <w:marRight w:val="0"/>
      <w:marTop w:val="0"/>
      <w:marBottom w:val="0"/>
      <w:divBdr>
        <w:top w:val="none" w:sz="0" w:space="0" w:color="auto"/>
        <w:left w:val="none" w:sz="0" w:space="0" w:color="auto"/>
        <w:bottom w:val="none" w:sz="0" w:space="0" w:color="auto"/>
        <w:right w:val="none" w:sz="0" w:space="0" w:color="auto"/>
      </w:divBdr>
    </w:div>
    <w:div w:id="1274435061">
      <w:bodyDiv w:val="1"/>
      <w:marLeft w:val="0"/>
      <w:marRight w:val="0"/>
      <w:marTop w:val="0"/>
      <w:marBottom w:val="0"/>
      <w:divBdr>
        <w:top w:val="none" w:sz="0" w:space="0" w:color="auto"/>
        <w:left w:val="none" w:sz="0" w:space="0" w:color="auto"/>
        <w:bottom w:val="none" w:sz="0" w:space="0" w:color="auto"/>
        <w:right w:val="none" w:sz="0" w:space="0" w:color="auto"/>
      </w:divBdr>
    </w:div>
    <w:div w:id="1416702786">
      <w:bodyDiv w:val="1"/>
      <w:marLeft w:val="0"/>
      <w:marRight w:val="0"/>
      <w:marTop w:val="0"/>
      <w:marBottom w:val="0"/>
      <w:divBdr>
        <w:top w:val="none" w:sz="0" w:space="0" w:color="auto"/>
        <w:left w:val="none" w:sz="0" w:space="0" w:color="auto"/>
        <w:bottom w:val="none" w:sz="0" w:space="0" w:color="auto"/>
        <w:right w:val="none" w:sz="0" w:space="0" w:color="auto"/>
      </w:divBdr>
    </w:div>
    <w:div w:id="1418550698">
      <w:bodyDiv w:val="1"/>
      <w:marLeft w:val="0"/>
      <w:marRight w:val="0"/>
      <w:marTop w:val="0"/>
      <w:marBottom w:val="0"/>
      <w:divBdr>
        <w:top w:val="none" w:sz="0" w:space="0" w:color="auto"/>
        <w:left w:val="none" w:sz="0" w:space="0" w:color="auto"/>
        <w:bottom w:val="none" w:sz="0" w:space="0" w:color="auto"/>
        <w:right w:val="none" w:sz="0" w:space="0" w:color="auto"/>
      </w:divBdr>
    </w:div>
    <w:div w:id="1444881267">
      <w:bodyDiv w:val="1"/>
      <w:marLeft w:val="0"/>
      <w:marRight w:val="0"/>
      <w:marTop w:val="0"/>
      <w:marBottom w:val="0"/>
      <w:divBdr>
        <w:top w:val="none" w:sz="0" w:space="0" w:color="auto"/>
        <w:left w:val="none" w:sz="0" w:space="0" w:color="auto"/>
        <w:bottom w:val="none" w:sz="0" w:space="0" w:color="auto"/>
        <w:right w:val="none" w:sz="0" w:space="0" w:color="auto"/>
      </w:divBdr>
    </w:div>
    <w:div w:id="1688020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tiff"/></Relationships>
</file>

<file path=word/charts/_rels/chart1.xml.rels><?xml version="1.0" encoding="UTF-8" standalone="yes"?>
<Relationships xmlns="http://schemas.openxmlformats.org/package/2006/relationships"><Relationship Id="rId1" Type="http://schemas.openxmlformats.org/officeDocument/2006/relationships/oleObject" Target="file:///C:\Users\cwendell\Documents\Projects\ERRP\Tornado\TornadoFrequenc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wendell\Documents\Projects\ERRP\Tornado\TornadoFrequenc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wendell\Documents\Projects\ERRP\Tornado\ontario_cts.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Tornado Counts per Year, F1-F5, 5-yr Mean</a:t>
            </a:r>
          </a:p>
        </c:rich>
      </c:tx>
      <c:layout/>
      <c:overlay val="0"/>
    </c:title>
    <c:autoTitleDeleted val="0"/>
    <c:plotArea>
      <c:layout/>
      <c:scatterChart>
        <c:scatterStyle val="lineMarker"/>
        <c:varyColors val="0"/>
        <c:ser>
          <c:idx val="0"/>
          <c:order val="0"/>
          <c:spPr>
            <a:ln w="22225">
              <a:solidFill>
                <a:srgbClr val="FF0000"/>
              </a:solidFill>
            </a:ln>
          </c:spPr>
          <c:marker>
            <c:symbol val="none"/>
          </c:marker>
          <c:xVal>
            <c:numRef>
              <c:f>US!$D$7:$D$66</c:f>
              <c:numCache>
                <c:formatCode>General</c:formatCode>
                <c:ptCount val="60"/>
                <c:pt idx="0">
                  <c:v>1952.0</c:v>
                </c:pt>
                <c:pt idx="1">
                  <c:v>1953.0</c:v>
                </c:pt>
                <c:pt idx="2">
                  <c:v>1954.0</c:v>
                </c:pt>
                <c:pt idx="3">
                  <c:v>1955.0</c:v>
                </c:pt>
                <c:pt idx="4">
                  <c:v>1956.0</c:v>
                </c:pt>
                <c:pt idx="5">
                  <c:v>1957.0</c:v>
                </c:pt>
                <c:pt idx="6">
                  <c:v>1958.0</c:v>
                </c:pt>
                <c:pt idx="7">
                  <c:v>1959.0</c:v>
                </c:pt>
                <c:pt idx="8">
                  <c:v>1960.0</c:v>
                </c:pt>
                <c:pt idx="9">
                  <c:v>1961.0</c:v>
                </c:pt>
                <c:pt idx="10">
                  <c:v>1962.0</c:v>
                </c:pt>
                <c:pt idx="11">
                  <c:v>1963.0</c:v>
                </c:pt>
                <c:pt idx="12">
                  <c:v>1964.0</c:v>
                </c:pt>
                <c:pt idx="13">
                  <c:v>1965.0</c:v>
                </c:pt>
                <c:pt idx="14">
                  <c:v>1966.0</c:v>
                </c:pt>
                <c:pt idx="15">
                  <c:v>1967.0</c:v>
                </c:pt>
                <c:pt idx="16">
                  <c:v>1968.0</c:v>
                </c:pt>
                <c:pt idx="17">
                  <c:v>1969.0</c:v>
                </c:pt>
                <c:pt idx="18">
                  <c:v>1970.0</c:v>
                </c:pt>
                <c:pt idx="19">
                  <c:v>1971.0</c:v>
                </c:pt>
                <c:pt idx="20">
                  <c:v>1972.0</c:v>
                </c:pt>
                <c:pt idx="21">
                  <c:v>1973.0</c:v>
                </c:pt>
                <c:pt idx="22">
                  <c:v>1974.0</c:v>
                </c:pt>
                <c:pt idx="23">
                  <c:v>1975.0</c:v>
                </c:pt>
                <c:pt idx="24">
                  <c:v>1976.0</c:v>
                </c:pt>
                <c:pt idx="25">
                  <c:v>1977.0</c:v>
                </c:pt>
                <c:pt idx="26">
                  <c:v>1978.0</c:v>
                </c:pt>
                <c:pt idx="27">
                  <c:v>1979.0</c:v>
                </c:pt>
                <c:pt idx="28">
                  <c:v>1980.0</c:v>
                </c:pt>
                <c:pt idx="29">
                  <c:v>1981.0</c:v>
                </c:pt>
                <c:pt idx="30">
                  <c:v>1982.0</c:v>
                </c:pt>
                <c:pt idx="31">
                  <c:v>1983.0</c:v>
                </c:pt>
                <c:pt idx="32">
                  <c:v>1984.0</c:v>
                </c:pt>
                <c:pt idx="33">
                  <c:v>1985.0</c:v>
                </c:pt>
                <c:pt idx="34">
                  <c:v>1986.0</c:v>
                </c:pt>
                <c:pt idx="35">
                  <c:v>1987.0</c:v>
                </c:pt>
                <c:pt idx="36">
                  <c:v>1988.0</c:v>
                </c:pt>
                <c:pt idx="37">
                  <c:v>1989.0</c:v>
                </c:pt>
                <c:pt idx="38">
                  <c:v>1990.0</c:v>
                </c:pt>
                <c:pt idx="39">
                  <c:v>1991.0</c:v>
                </c:pt>
                <c:pt idx="40">
                  <c:v>1992.0</c:v>
                </c:pt>
                <c:pt idx="41">
                  <c:v>1993.0</c:v>
                </c:pt>
                <c:pt idx="42">
                  <c:v>1994.0</c:v>
                </c:pt>
                <c:pt idx="43">
                  <c:v>1995.0</c:v>
                </c:pt>
                <c:pt idx="44">
                  <c:v>1996.0</c:v>
                </c:pt>
                <c:pt idx="45">
                  <c:v>1997.0</c:v>
                </c:pt>
                <c:pt idx="46">
                  <c:v>1998.0</c:v>
                </c:pt>
                <c:pt idx="47">
                  <c:v>1999.0</c:v>
                </c:pt>
                <c:pt idx="48">
                  <c:v>2000.0</c:v>
                </c:pt>
                <c:pt idx="49">
                  <c:v>2001.0</c:v>
                </c:pt>
                <c:pt idx="50">
                  <c:v>2002.0</c:v>
                </c:pt>
                <c:pt idx="51">
                  <c:v>2003.0</c:v>
                </c:pt>
                <c:pt idx="52">
                  <c:v>2004.0</c:v>
                </c:pt>
                <c:pt idx="53">
                  <c:v>2005.0</c:v>
                </c:pt>
                <c:pt idx="54">
                  <c:v>2006.0</c:v>
                </c:pt>
                <c:pt idx="55">
                  <c:v>2007.0</c:v>
                </c:pt>
                <c:pt idx="56">
                  <c:v>2008.0</c:v>
                </c:pt>
                <c:pt idx="57">
                  <c:v>2009.0</c:v>
                </c:pt>
                <c:pt idx="58">
                  <c:v>2010.0</c:v>
                </c:pt>
                <c:pt idx="59">
                  <c:v>2011.0</c:v>
                </c:pt>
              </c:numCache>
            </c:numRef>
          </c:xVal>
          <c:yVal>
            <c:numRef>
              <c:f>US!$E$7:$E$66</c:f>
              <c:numCache>
                <c:formatCode>General</c:formatCode>
                <c:ptCount val="60"/>
                <c:pt idx="0">
                  <c:v>279.8</c:v>
                </c:pt>
                <c:pt idx="1">
                  <c:v>327.6</c:v>
                </c:pt>
                <c:pt idx="2">
                  <c:v>364.2</c:v>
                </c:pt>
                <c:pt idx="3">
                  <c:v>451.6</c:v>
                </c:pt>
                <c:pt idx="4">
                  <c:v>464.2</c:v>
                </c:pt>
                <c:pt idx="5">
                  <c:v>463.8</c:v>
                </c:pt>
                <c:pt idx="6">
                  <c:v>477.2</c:v>
                </c:pt>
                <c:pt idx="7">
                  <c:v>510.2</c:v>
                </c:pt>
                <c:pt idx="8">
                  <c:v>475.0</c:v>
                </c:pt>
                <c:pt idx="9">
                  <c:v>463.8</c:v>
                </c:pt>
                <c:pt idx="10">
                  <c:v>479.0</c:v>
                </c:pt>
                <c:pt idx="11">
                  <c:v>511.6</c:v>
                </c:pt>
                <c:pt idx="12">
                  <c:v>486.0</c:v>
                </c:pt>
                <c:pt idx="13">
                  <c:v>521.6</c:v>
                </c:pt>
                <c:pt idx="14">
                  <c:v>542.0</c:v>
                </c:pt>
                <c:pt idx="15">
                  <c:v>517.4</c:v>
                </c:pt>
                <c:pt idx="16">
                  <c:v>485.0</c:v>
                </c:pt>
                <c:pt idx="17">
                  <c:v>541.4</c:v>
                </c:pt>
                <c:pt idx="18">
                  <c:v>526.2</c:v>
                </c:pt>
                <c:pt idx="19">
                  <c:v>609.8</c:v>
                </c:pt>
                <c:pt idx="20">
                  <c:v>671.8</c:v>
                </c:pt>
                <c:pt idx="21">
                  <c:v>696.4</c:v>
                </c:pt>
                <c:pt idx="22">
                  <c:v>675.4</c:v>
                </c:pt>
                <c:pt idx="23">
                  <c:v>685.2</c:v>
                </c:pt>
                <c:pt idx="24">
                  <c:v>598.8</c:v>
                </c:pt>
                <c:pt idx="25">
                  <c:v>553.6</c:v>
                </c:pt>
                <c:pt idx="26">
                  <c:v>550.8</c:v>
                </c:pt>
                <c:pt idx="27">
                  <c:v>532.0</c:v>
                </c:pt>
                <c:pt idx="28">
                  <c:v>542.8</c:v>
                </c:pt>
                <c:pt idx="29">
                  <c:v>568.6</c:v>
                </c:pt>
                <c:pt idx="30">
                  <c:v>576.2</c:v>
                </c:pt>
                <c:pt idx="31">
                  <c:v>531.8</c:v>
                </c:pt>
                <c:pt idx="32">
                  <c:v>514.2</c:v>
                </c:pt>
                <c:pt idx="33">
                  <c:v>443.4</c:v>
                </c:pt>
                <c:pt idx="34">
                  <c:v>410.8</c:v>
                </c:pt>
                <c:pt idx="35">
                  <c:v>401.4</c:v>
                </c:pt>
                <c:pt idx="36">
                  <c:v>445.4</c:v>
                </c:pt>
                <c:pt idx="37">
                  <c:v>452.0</c:v>
                </c:pt>
                <c:pt idx="38">
                  <c:v>508.6</c:v>
                </c:pt>
                <c:pt idx="39">
                  <c:v>513.2</c:v>
                </c:pt>
                <c:pt idx="40">
                  <c:v>493.4</c:v>
                </c:pt>
                <c:pt idx="41">
                  <c:v>457.0</c:v>
                </c:pt>
                <c:pt idx="42">
                  <c:v>454.2</c:v>
                </c:pt>
                <c:pt idx="43">
                  <c:v>415.4</c:v>
                </c:pt>
                <c:pt idx="44">
                  <c:v>435.6</c:v>
                </c:pt>
                <c:pt idx="45">
                  <c:v>459.8</c:v>
                </c:pt>
                <c:pt idx="46">
                  <c:v>447.4</c:v>
                </c:pt>
                <c:pt idx="47">
                  <c:v>442.2</c:v>
                </c:pt>
                <c:pt idx="48">
                  <c:v>423.4</c:v>
                </c:pt>
                <c:pt idx="49">
                  <c:v>411.8</c:v>
                </c:pt>
                <c:pt idx="50">
                  <c:v>430.2</c:v>
                </c:pt>
                <c:pt idx="51">
                  <c:v>449.4</c:v>
                </c:pt>
                <c:pt idx="52">
                  <c:v>452.0</c:v>
                </c:pt>
                <c:pt idx="53">
                  <c:v>474.6</c:v>
                </c:pt>
                <c:pt idx="54">
                  <c:v>519.8</c:v>
                </c:pt>
                <c:pt idx="55">
                  <c:v>490.4</c:v>
                </c:pt>
                <c:pt idx="56">
                  <c:v>503.0</c:v>
                </c:pt>
                <c:pt idx="57">
                  <c:v>599.0</c:v>
                </c:pt>
                <c:pt idx="58">
                  <c:v>587.0</c:v>
                </c:pt>
                <c:pt idx="59">
                  <c:v>525.8</c:v>
                </c:pt>
              </c:numCache>
            </c:numRef>
          </c:yVal>
          <c:smooth val="0"/>
        </c:ser>
        <c:ser>
          <c:idx val="1"/>
          <c:order val="1"/>
          <c:spPr>
            <a:ln w="15875">
              <a:solidFill>
                <a:schemeClr val="tx1"/>
              </a:solidFill>
              <a:prstDash val="dash"/>
            </a:ln>
          </c:spPr>
          <c:marker>
            <c:symbol val="none"/>
          </c:marker>
          <c:xVal>
            <c:numRef>
              <c:f>US!$D$7:$D$66</c:f>
              <c:numCache>
                <c:formatCode>General</c:formatCode>
                <c:ptCount val="60"/>
                <c:pt idx="0">
                  <c:v>1952.0</c:v>
                </c:pt>
                <c:pt idx="1">
                  <c:v>1953.0</c:v>
                </c:pt>
                <c:pt idx="2">
                  <c:v>1954.0</c:v>
                </c:pt>
                <c:pt idx="3">
                  <c:v>1955.0</c:v>
                </c:pt>
                <c:pt idx="4">
                  <c:v>1956.0</c:v>
                </c:pt>
                <c:pt idx="5">
                  <c:v>1957.0</c:v>
                </c:pt>
                <c:pt idx="6">
                  <c:v>1958.0</c:v>
                </c:pt>
                <c:pt idx="7">
                  <c:v>1959.0</c:v>
                </c:pt>
                <c:pt idx="8">
                  <c:v>1960.0</c:v>
                </c:pt>
                <c:pt idx="9">
                  <c:v>1961.0</c:v>
                </c:pt>
                <c:pt idx="10">
                  <c:v>1962.0</c:v>
                </c:pt>
                <c:pt idx="11">
                  <c:v>1963.0</c:v>
                </c:pt>
                <c:pt idx="12">
                  <c:v>1964.0</c:v>
                </c:pt>
                <c:pt idx="13">
                  <c:v>1965.0</c:v>
                </c:pt>
                <c:pt idx="14">
                  <c:v>1966.0</c:v>
                </c:pt>
                <c:pt idx="15">
                  <c:v>1967.0</c:v>
                </c:pt>
                <c:pt idx="16">
                  <c:v>1968.0</c:v>
                </c:pt>
                <c:pt idx="17">
                  <c:v>1969.0</c:v>
                </c:pt>
                <c:pt idx="18">
                  <c:v>1970.0</c:v>
                </c:pt>
                <c:pt idx="19">
                  <c:v>1971.0</c:v>
                </c:pt>
                <c:pt idx="20">
                  <c:v>1972.0</c:v>
                </c:pt>
                <c:pt idx="21">
                  <c:v>1973.0</c:v>
                </c:pt>
                <c:pt idx="22">
                  <c:v>1974.0</c:v>
                </c:pt>
                <c:pt idx="23">
                  <c:v>1975.0</c:v>
                </c:pt>
                <c:pt idx="24">
                  <c:v>1976.0</c:v>
                </c:pt>
                <c:pt idx="25">
                  <c:v>1977.0</c:v>
                </c:pt>
                <c:pt idx="26">
                  <c:v>1978.0</c:v>
                </c:pt>
                <c:pt idx="27">
                  <c:v>1979.0</c:v>
                </c:pt>
                <c:pt idx="28">
                  <c:v>1980.0</c:v>
                </c:pt>
                <c:pt idx="29">
                  <c:v>1981.0</c:v>
                </c:pt>
                <c:pt idx="30">
                  <c:v>1982.0</c:v>
                </c:pt>
                <c:pt idx="31">
                  <c:v>1983.0</c:v>
                </c:pt>
                <c:pt idx="32">
                  <c:v>1984.0</c:v>
                </c:pt>
                <c:pt idx="33">
                  <c:v>1985.0</c:v>
                </c:pt>
                <c:pt idx="34">
                  <c:v>1986.0</c:v>
                </c:pt>
                <c:pt idx="35">
                  <c:v>1987.0</c:v>
                </c:pt>
                <c:pt idx="36">
                  <c:v>1988.0</c:v>
                </c:pt>
                <c:pt idx="37">
                  <c:v>1989.0</c:v>
                </c:pt>
                <c:pt idx="38">
                  <c:v>1990.0</c:v>
                </c:pt>
                <c:pt idx="39">
                  <c:v>1991.0</c:v>
                </c:pt>
                <c:pt idx="40">
                  <c:v>1992.0</c:v>
                </c:pt>
                <c:pt idx="41">
                  <c:v>1993.0</c:v>
                </c:pt>
                <c:pt idx="42">
                  <c:v>1994.0</c:v>
                </c:pt>
                <c:pt idx="43">
                  <c:v>1995.0</c:v>
                </c:pt>
                <c:pt idx="44">
                  <c:v>1996.0</c:v>
                </c:pt>
                <c:pt idx="45">
                  <c:v>1997.0</c:v>
                </c:pt>
                <c:pt idx="46">
                  <c:v>1998.0</c:v>
                </c:pt>
                <c:pt idx="47">
                  <c:v>1999.0</c:v>
                </c:pt>
                <c:pt idx="48">
                  <c:v>2000.0</c:v>
                </c:pt>
                <c:pt idx="49">
                  <c:v>2001.0</c:v>
                </c:pt>
                <c:pt idx="50">
                  <c:v>2002.0</c:v>
                </c:pt>
                <c:pt idx="51">
                  <c:v>2003.0</c:v>
                </c:pt>
                <c:pt idx="52">
                  <c:v>2004.0</c:v>
                </c:pt>
                <c:pt idx="53">
                  <c:v>2005.0</c:v>
                </c:pt>
                <c:pt idx="54">
                  <c:v>2006.0</c:v>
                </c:pt>
                <c:pt idx="55">
                  <c:v>2007.0</c:v>
                </c:pt>
                <c:pt idx="56">
                  <c:v>2008.0</c:v>
                </c:pt>
                <c:pt idx="57">
                  <c:v>2009.0</c:v>
                </c:pt>
                <c:pt idx="58">
                  <c:v>2010.0</c:v>
                </c:pt>
                <c:pt idx="59">
                  <c:v>2011.0</c:v>
                </c:pt>
              </c:numCache>
            </c:numRef>
          </c:xVal>
          <c:yVal>
            <c:numRef>
              <c:f>US!$G$7:$G$66</c:f>
              <c:numCache>
                <c:formatCode>0.0</c:formatCode>
                <c:ptCount val="60"/>
                <c:pt idx="0">
                  <c:v>390.2289817031742</c:v>
                </c:pt>
                <c:pt idx="1">
                  <c:v>437.0725536378868</c:v>
                </c:pt>
                <c:pt idx="2">
                  <c:v>452.0029612256899</c:v>
                </c:pt>
                <c:pt idx="3">
                  <c:v>552.8987660339453</c:v>
                </c:pt>
                <c:pt idx="4">
                  <c:v>556.3268690448124</c:v>
                </c:pt>
                <c:pt idx="5">
                  <c:v>555.9442347626806</c:v>
                </c:pt>
                <c:pt idx="6">
                  <c:v>566.9873042250406</c:v>
                </c:pt>
                <c:pt idx="7">
                  <c:v>587.2490752702458</c:v>
                </c:pt>
                <c:pt idx="8">
                  <c:v>516.0414424697768</c:v>
                </c:pt>
                <c:pt idx="9">
                  <c:v>522.4562869605636</c:v>
                </c:pt>
                <c:pt idx="10">
                  <c:v>543.9522901828717</c:v>
                </c:pt>
                <c:pt idx="11">
                  <c:v>606.7663806183676</c:v>
                </c:pt>
                <c:pt idx="12">
                  <c:v>586.0959539641838</c:v>
                </c:pt>
                <c:pt idx="13">
                  <c:v>638.1909087364878</c:v>
                </c:pt>
                <c:pt idx="14">
                  <c:v>635.740066140365</c:v>
                </c:pt>
                <c:pt idx="15">
                  <c:v>624.8813472189477</c:v>
                </c:pt>
                <c:pt idx="16">
                  <c:v>569.2258867569825</c:v>
                </c:pt>
                <c:pt idx="17">
                  <c:v>651.1025068081856</c:v>
                </c:pt>
                <c:pt idx="18">
                  <c:v>625.5486789041505</c:v>
                </c:pt>
                <c:pt idx="19">
                  <c:v>775.9124920046653</c:v>
                </c:pt>
                <c:pt idx="20">
                  <c:v>807.601914566769</c:v>
                </c:pt>
                <c:pt idx="21">
                  <c:v>805.34512380093</c:v>
                </c:pt>
                <c:pt idx="22">
                  <c:v>791.8724860213775</c:v>
                </c:pt>
                <c:pt idx="23">
                  <c:v>793.9444711238232</c:v>
                </c:pt>
                <c:pt idx="24">
                  <c:v>685.4334808258332</c:v>
                </c:pt>
                <c:pt idx="25">
                  <c:v>620.9813030446875</c:v>
                </c:pt>
                <c:pt idx="26">
                  <c:v>615.9502877967549</c:v>
                </c:pt>
                <c:pt idx="27">
                  <c:v>595.809090261498</c:v>
                </c:pt>
                <c:pt idx="28">
                  <c:v>622.5029485025491</c:v>
                </c:pt>
                <c:pt idx="29">
                  <c:v>634.0082563595758</c:v>
                </c:pt>
                <c:pt idx="30">
                  <c:v>634.5588896398827</c:v>
                </c:pt>
                <c:pt idx="31">
                  <c:v>628.5231099582722</c:v>
                </c:pt>
                <c:pt idx="32">
                  <c:v>622.5926196749575</c:v>
                </c:pt>
                <c:pt idx="33">
                  <c:v>542.0825212486994</c:v>
                </c:pt>
                <c:pt idx="34">
                  <c:v>482.0948806016253</c:v>
                </c:pt>
                <c:pt idx="35">
                  <c:v>457.2591084783851</c:v>
                </c:pt>
                <c:pt idx="36">
                  <c:v>538.2926261874428</c:v>
                </c:pt>
                <c:pt idx="37">
                  <c:v>543.373956902391</c:v>
                </c:pt>
                <c:pt idx="38">
                  <c:v>584.548930209714</c:v>
                </c:pt>
                <c:pt idx="39">
                  <c:v>583.9824837088953</c:v>
                </c:pt>
                <c:pt idx="40">
                  <c:v>580.668780213774</c:v>
                </c:pt>
                <c:pt idx="41">
                  <c:v>530.7997289967926</c:v>
                </c:pt>
                <c:pt idx="42">
                  <c:v>528.7020805078625</c:v>
                </c:pt>
                <c:pt idx="43">
                  <c:v>433.7259379023284</c:v>
                </c:pt>
                <c:pt idx="44">
                  <c:v>490.0227893441709</c:v>
                </c:pt>
                <c:pt idx="45">
                  <c:v>514.5773675891787</c:v>
                </c:pt>
                <c:pt idx="46">
                  <c:v>516.3306898268107</c:v>
                </c:pt>
                <c:pt idx="47">
                  <c:v>513.1969013408332</c:v>
                </c:pt>
                <c:pt idx="48">
                  <c:v>512.0173797852316</c:v>
                </c:pt>
                <c:pt idx="49">
                  <c:v>487.0526411496633</c:v>
                </c:pt>
                <c:pt idx="50">
                  <c:v>533.1279359552109</c:v>
                </c:pt>
                <c:pt idx="51">
                  <c:v>544.6147047466936</c:v>
                </c:pt>
                <c:pt idx="52">
                  <c:v>546.110573263582</c:v>
                </c:pt>
                <c:pt idx="53">
                  <c:v>541.8803091550567</c:v>
                </c:pt>
                <c:pt idx="54">
                  <c:v>635.809309971226</c:v>
                </c:pt>
                <c:pt idx="55">
                  <c:v>600.5863875440156</c:v>
                </c:pt>
                <c:pt idx="56">
                  <c:v>611.2016635731633</c:v>
                </c:pt>
                <c:pt idx="57">
                  <c:v>778.0519477693556</c:v>
                </c:pt>
                <c:pt idx="58">
                  <c:v>778.9260274168148</c:v>
                </c:pt>
                <c:pt idx="59">
                  <c:v>717.853534203357</c:v>
                </c:pt>
              </c:numCache>
            </c:numRef>
          </c:yVal>
          <c:smooth val="0"/>
        </c:ser>
        <c:ser>
          <c:idx val="2"/>
          <c:order val="2"/>
          <c:spPr>
            <a:ln w="15875">
              <a:solidFill>
                <a:schemeClr val="tx1"/>
              </a:solidFill>
              <a:prstDash val="dash"/>
            </a:ln>
          </c:spPr>
          <c:marker>
            <c:symbol val="none"/>
          </c:marker>
          <c:xVal>
            <c:numRef>
              <c:f>US!$D$7:$D$66</c:f>
              <c:numCache>
                <c:formatCode>General</c:formatCode>
                <c:ptCount val="60"/>
                <c:pt idx="0">
                  <c:v>1952.0</c:v>
                </c:pt>
                <c:pt idx="1">
                  <c:v>1953.0</c:v>
                </c:pt>
                <c:pt idx="2">
                  <c:v>1954.0</c:v>
                </c:pt>
                <c:pt idx="3">
                  <c:v>1955.0</c:v>
                </c:pt>
                <c:pt idx="4">
                  <c:v>1956.0</c:v>
                </c:pt>
                <c:pt idx="5">
                  <c:v>1957.0</c:v>
                </c:pt>
                <c:pt idx="6">
                  <c:v>1958.0</c:v>
                </c:pt>
                <c:pt idx="7">
                  <c:v>1959.0</c:v>
                </c:pt>
                <c:pt idx="8">
                  <c:v>1960.0</c:v>
                </c:pt>
                <c:pt idx="9">
                  <c:v>1961.0</c:v>
                </c:pt>
                <c:pt idx="10">
                  <c:v>1962.0</c:v>
                </c:pt>
                <c:pt idx="11">
                  <c:v>1963.0</c:v>
                </c:pt>
                <c:pt idx="12">
                  <c:v>1964.0</c:v>
                </c:pt>
                <c:pt idx="13">
                  <c:v>1965.0</c:v>
                </c:pt>
                <c:pt idx="14">
                  <c:v>1966.0</c:v>
                </c:pt>
                <c:pt idx="15">
                  <c:v>1967.0</c:v>
                </c:pt>
                <c:pt idx="16">
                  <c:v>1968.0</c:v>
                </c:pt>
                <c:pt idx="17">
                  <c:v>1969.0</c:v>
                </c:pt>
                <c:pt idx="18">
                  <c:v>1970.0</c:v>
                </c:pt>
                <c:pt idx="19">
                  <c:v>1971.0</c:v>
                </c:pt>
                <c:pt idx="20">
                  <c:v>1972.0</c:v>
                </c:pt>
                <c:pt idx="21">
                  <c:v>1973.0</c:v>
                </c:pt>
                <c:pt idx="22">
                  <c:v>1974.0</c:v>
                </c:pt>
                <c:pt idx="23">
                  <c:v>1975.0</c:v>
                </c:pt>
                <c:pt idx="24">
                  <c:v>1976.0</c:v>
                </c:pt>
                <c:pt idx="25">
                  <c:v>1977.0</c:v>
                </c:pt>
                <c:pt idx="26">
                  <c:v>1978.0</c:v>
                </c:pt>
                <c:pt idx="27">
                  <c:v>1979.0</c:v>
                </c:pt>
                <c:pt idx="28">
                  <c:v>1980.0</c:v>
                </c:pt>
                <c:pt idx="29">
                  <c:v>1981.0</c:v>
                </c:pt>
                <c:pt idx="30">
                  <c:v>1982.0</c:v>
                </c:pt>
                <c:pt idx="31">
                  <c:v>1983.0</c:v>
                </c:pt>
                <c:pt idx="32">
                  <c:v>1984.0</c:v>
                </c:pt>
                <c:pt idx="33">
                  <c:v>1985.0</c:v>
                </c:pt>
                <c:pt idx="34">
                  <c:v>1986.0</c:v>
                </c:pt>
                <c:pt idx="35">
                  <c:v>1987.0</c:v>
                </c:pt>
                <c:pt idx="36">
                  <c:v>1988.0</c:v>
                </c:pt>
                <c:pt idx="37">
                  <c:v>1989.0</c:v>
                </c:pt>
                <c:pt idx="38">
                  <c:v>1990.0</c:v>
                </c:pt>
                <c:pt idx="39">
                  <c:v>1991.0</c:v>
                </c:pt>
                <c:pt idx="40">
                  <c:v>1992.0</c:v>
                </c:pt>
                <c:pt idx="41">
                  <c:v>1993.0</c:v>
                </c:pt>
                <c:pt idx="42">
                  <c:v>1994.0</c:v>
                </c:pt>
                <c:pt idx="43">
                  <c:v>1995.0</c:v>
                </c:pt>
                <c:pt idx="44">
                  <c:v>1996.0</c:v>
                </c:pt>
                <c:pt idx="45">
                  <c:v>1997.0</c:v>
                </c:pt>
                <c:pt idx="46">
                  <c:v>1998.0</c:v>
                </c:pt>
                <c:pt idx="47">
                  <c:v>1999.0</c:v>
                </c:pt>
                <c:pt idx="48">
                  <c:v>2000.0</c:v>
                </c:pt>
                <c:pt idx="49">
                  <c:v>2001.0</c:v>
                </c:pt>
                <c:pt idx="50">
                  <c:v>2002.0</c:v>
                </c:pt>
                <c:pt idx="51">
                  <c:v>2003.0</c:v>
                </c:pt>
                <c:pt idx="52">
                  <c:v>2004.0</c:v>
                </c:pt>
                <c:pt idx="53">
                  <c:v>2005.0</c:v>
                </c:pt>
                <c:pt idx="54">
                  <c:v>2006.0</c:v>
                </c:pt>
                <c:pt idx="55">
                  <c:v>2007.0</c:v>
                </c:pt>
                <c:pt idx="56">
                  <c:v>2008.0</c:v>
                </c:pt>
                <c:pt idx="57">
                  <c:v>2009.0</c:v>
                </c:pt>
                <c:pt idx="58">
                  <c:v>2010.0</c:v>
                </c:pt>
                <c:pt idx="59">
                  <c:v>2011.0</c:v>
                </c:pt>
              </c:numCache>
            </c:numRef>
          </c:xVal>
          <c:yVal>
            <c:numRef>
              <c:f>US!$H$7:$H$66</c:f>
              <c:numCache>
                <c:formatCode>0.0</c:formatCode>
                <c:ptCount val="60"/>
                <c:pt idx="0">
                  <c:v>169.3710182968258</c:v>
                </c:pt>
                <c:pt idx="1">
                  <c:v>218.1274463621133</c:v>
                </c:pt>
                <c:pt idx="2">
                  <c:v>276.3970387743101</c:v>
                </c:pt>
                <c:pt idx="3">
                  <c:v>350.3012339660546</c:v>
                </c:pt>
                <c:pt idx="4">
                  <c:v>372.0731309551875</c:v>
                </c:pt>
                <c:pt idx="5">
                  <c:v>371.6557652373194</c:v>
                </c:pt>
                <c:pt idx="6">
                  <c:v>387.4126957749593</c:v>
                </c:pt>
                <c:pt idx="7">
                  <c:v>433.1509247297543</c:v>
                </c:pt>
                <c:pt idx="8">
                  <c:v>433.9585575302231</c:v>
                </c:pt>
                <c:pt idx="9">
                  <c:v>405.1437130394363</c:v>
                </c:pt>
                <c:pt idx="10">
                  <c:v>414.0477098171281</c:v>
                </c:pt>
                <c:pt idx="11">
                  <c:v>416.4336193816324</c:v>
                </c:pt>
                <c:pt idx="12">
                  <c:v>385.9040460358163</c:v>
                </c:pt>
                <c:pt idx="13">
                  <c:v>405.0090912635123</c:v>
                </c:pt>
                <c:pt idx="14">
                  <c:v>448.259933859635</c:v>
                </c:pt>
                <c:pt idx="15">
                  <c:v>409.9186527810523</c:v>
                </c:pt>
                <c:pt idx="16">
                  <c:v>400.7741132430176</c:v>
                </c:pt>
                <c:pt idx="17">
                  <c:v>431.6974931918145</c:v>
                </c:pt>
                <c:pt idx="18">
                  <c:v>426.8513210958496</c:v>
                </c:pt>
                <c:pt idx="19">
                  <c:v>443.6875079953346</c:v>
                </c:pt>
                <c:pt idx="20">
                  <c:v>535.998085433231</c:v>
                </c:pt>
                <c:pt idx="21">
                  <c:v>587.4548761990698</c:v>
                </c:pt>
                <c:pt idx="22">
                  <c:v>558.9275139786225</c:v>
                </c:pt>
                <c:pt idx="23">
                  <c:v>576.455528876177</c:v>
                </c:pt>
                <c:pt idx="24">
                  <c:v>512.1665191741666</c:v>
                </c:pt>
                <c:pt idx="25">
                  <c:v>486.2186969553126</c:v>
                </c:pt>
                <c:pt idx="26">
                  <c:v>485.649712203245</c:v>
                </c:pt>
                <c:pt idx="27">
                  <c:v>468.1909097385019</c:v>
                </c:pt>
                <c:pt idx="28">
                  <c:v>463.0970514974508</c:v>
                </c:pt>
                <c:pt idx="29">
                  <c:v>503.1917436404241</c:v>
                </c:pt>
                <c:pt idx="30">
                  <c:v>517.8411103601174</c:v>
                </c:pt>
                <c:pt idx="31">
                  <c:v>435.0768900417278</c:v>
                </c:pt>
                <c:pt idx="32">
                  <c:v>405.8073803250425</c:v>
                </c:pt>
                <c:pt idx="33">
                  <c:v>344.7174787513006</c:v>
                </c:pt>
                <c:pt idx="34">
                  <c:v>339.5051193983746</c:v>
                </c:pt>
                <c:pt idx="35">
                  <c:v>345.5408915216148</c:v>
                </c:pt>
                <c:pt idx="36">
                  <c:v>352.5073738125571</c:v>
                </c:pt>
                <c:pt idx="37">
                  <c:v>360.626043097609</c:v>
                </c:pt>
                <c:pt idx="38">
                  <c:v>432.6510697902861</c:v>
                </c:pt>
                <c:pt idx="39">
                  <c:v>442.4175162911048</c:v>
                </c:pt>
                <c:pt idx="40">
                  <c:v>406.1312197862259</c:v>
                </c:pt>
                <c:pt idx="41">
                  <c:v>383.2002710032076</c:v>
                </c:pt>
                <c:pt idx="42">
                  <c:v>379.6979194921376</c:v>
                </c:pt>
                <c:pt idx="43">
                  <c:v>397.0740620976715</c:v>
                </c:pt>
                <c:pt idx="44">
                  <c:v>381.1772106558292</c:v>
                </c:pt>
                <c:pt idx="45">
                  <c:v>405.0226324108214</c:v>
                </c:pt>
                <c:pt idx="46">
                  <c:v>378.4693101731891</c:v>
                </c:pt>
                <c:pt idx="47">
                  <c:v>371.2030986591668</c:v>
                </c:pt>
                <c:pt idx="48">
                  <c:v>334.7826202147683</c:v>
                </c:pt>
                <c:pt idx="49">
                  <c:v>336.5473588503367</c:v>
                </c:pt>
                <c:pt idx="50">
                  <c:v>327.2720640447891</c:v>
                </c:pt>
                <c:pt idx="51">
                  <c:v>354.1852952533066</c:v>
                </c:pt>
                <c:pt idx="52">
                  <c:v>357.8894267364182</c:v>
                </c:pt>
                <c:pt idx="53">
                  <c:v>407.3196908449434</c:v>
                </c:pt>
                <c:pt idx="54">
                  <c:v>403.790690028774</c:v>
                </c:pt>
                <c:pt idx="55">
                  <c:v>380.2136124559843</c:v>
                </c:pt>
                <c:pt idx="56">
                  <c:v>394.7983364268367</c:v>
                </c:pt>
                <c:pt idx="57">
                  <c:v>419.9480522306445</c:v>
                </c:pt>
                <c:pt idx="58">
                  <c:v>395.073972583185</c:v>
                </c:pt>
                <c:pt idx="59">
                  <c:v>333.746465796643</c:v>
                </c:pt>
              </c:numCache>
            </c:numRef>
          </c:yVal>
          <c:smooth val="0"/>
        </c:ser>
        <c:dLbls>
          <c:showLegendKey val="0"/>
          <c:showVal val="0"/>
          <c:showCatName val="0"/>
          <c:showSerName val="0"/>
          <c:showPercent val="0"/>
          <c:showBubbleSize val="0"/>
        </c:dLbls>
        <c:axId val="465864680"/>
        <c:axId val="465867608"/>
      </c:scatterChart>
      <c:valAx>
        <c:axId val="465864680"/>
        <c:scaling>
          <c:orientation val="minMax"/>
          <c:max val="2020.0"/>
          <c:min val="1950.0"/>
        </c:scaling>
        <c:delete val="0"/>
        <c:axPos val="b"/>
        <c:majorGridlines/>
        <c:numFmt formatCode="General" sourceLinked="1"/>
        <c:majorTickMark val="out"/>
        <c:minorTickMark val="none"/>
        <c:tickLblPos val="nextTo"/>
        <c:txPr>
          <a:bodyPr/>
          <a:lstStyle/>
          <a:p>
            <a:pPr>
              <a:defRPr sz="800"/>
            </a:pPr>
            <a:endParaRPr lang="en-US"/>
          </a:p>
        </c:txPr>
        <c:crossAx val="465867608"/>
        <c:crosses val="autoZero"/>
        <c:crossBetween val="midCat"/>
      </c:valAx>
      <c:valAx>
        <c:axId val="465867608"/>
        <c:scaling>
          <c:orientation val="minMax"/>
          <c:max val="1000.0"/>
        </c:scaling>
        <c:delete val="0"/>
        <c:axPos val="l"/>
        <c:majorGridlines>
          <c:spPr>
            <a:ln>
              <a:noFill/>
            </a:ln>
          </c:spPr>
        </c:majorGridlines>
        <c:numFmt formatCode="General" sourceLinked="1"/>
        <c:majorTickMark val="out"/>
        <c:minorTickMark val="none"/>
        <c:tickLblPos val="nextTo"/>
        <c:txPr>
          <a:bodyPr/>
          <a:lstStyle/>
          <a:p>
            <a:pPr>
              <a:defRPr sz="800"/>
            </a:pPr>
            <a:endParaRPr lang="en-US"/>
          </a:p>
        </c:txPr>
        <c:crossAx val="46586468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Tornado Counts (Ontario), F1+ (5 yr mean)</a:t>
            </a:r>
          </a:p>
        </c:rich>
      </c:tx>
      <c:layout/>
      <c:overlay val="0"/>
    </c:title>
    <c:autoTitleDeleted val="0"/>
    <c:plotArea>
      <c:layout/>
      <c:scatterChart>
        <c:scatterStyle val="lineMarker"/>
        <c:varyColors val="0"/>
        <c:ser>
          <c:idx val="0"/>
          <c:order val="0"/>
          <c:spPr>
            <a:ln w="22225">
              <a:solidFill>
                <a:srgbClr val="FF0000"/>
              </a:solidFill>
            </a:ln>
          </c:spPr>
          <c:marker>
            <c:symbol val="none"/>
          </c:marker>
          <c:xVal>
            <c:numRef>
              <c:f>Canada!$C$24:$C$78</c:f>
              <c:numCache>
                <c:formatCode>General</c:formatCode>
                <c:ptCount val="55"/>
                <c:pt idx="0">
                  <c:v>1952.0</c:v>
                </c:pt>
                <c:pt idx="1">
                  <c:v>1953.0</c:v>
                </c:pt>
                <c:pt idx="2">
                  <c:v>1954.0</c:v>
                </c:pt>
                <c:pt idx="3">
                  <c:v>1955.0</c:v>
                </c:pt>
                <c:pt idx="4">
                  <c:v>1956.0</c:v>
                </c:pt>
                <c:pt idx="5">
                  <c:v>1957.0</c:v>
                </c:pt>
                <c:pt idx="6">
                  <c:v>1958.0</c:v>
                </c:pt>
                <c:pt idx="7">
                  <c:v>1959.0</c:v>
                </c:pt>
                <c:pt idx="8">
                  <c:v>1960.0</c:v>
                </c:pt>
                <c:pt idx="9">
                  <c:v>1961.0</c:v>
                </c:pt>
                <c:pt idx="10">
                  <c:v>1962.0</c:v>
                </c:pt>
                <c:pt idx="11">
                  <c:v>1963.0</c:v>
                </c:pt>
                <c:pt idx="12">
                  <c:v>1964.0</c:v>
                </c:pt>
                <c:pt idx="13">
                  <c:v>1965.0</c:v>
                </c:pt>
                <c:pt idx="14">
                  <c:v>1966.0</c:v>
                </c:pt>
                <c:pt idx="15">
                  <c:v>1967.0</c:v>
                </c:pt>
                <c:pt idx="16">
                  <c:v>1968.0</c:v>
                </c:pt>
                <c:pt idx="17">
                  <c:v>1969.0</c:v>
                </c:pt>
                <c:pt idx="18">
                  <c:v>1970.0</c:v>
                </c:pt>
                <c:pt idx="19">
                  <c:v>1971.0</c:v>
                </c:pt>
                <c:pt idx="20">
                  <c:v>1972.0</c:v>
                </c:pt>
                <c:pt idx="21">
                  <c:v>1973.0</c:v>
                </c:pt>
                <c:pt idx="22">
                  <c:v>1974.0</c:v>
                </c:pt>
                <c:pt idx="23">
                  <c:v>1975.0</c:v>
                </c:pt>
                <c:pt idx="24">
                  <c:v>1976.0</c:v>
                </c:pt>
                <c:pt idx="25">
                  <c:v>1977.0</c:v>
                </c:pt>
                <c:pt idx="26">
                  <c:v>1978.0</c:v>
                </c:pt>
                <c:pt idx="27">
                  <c:v>1979.0</c:v>
                </c:pt>
                <c:pt idx="28">
                  <c:v>1980.0</c:v>
                </c:pt>
                <c:pt idx="29">
                  <c:v>1981.0</c:v>
                </c:pt>
                <c:pt idx="30">
                  <c:v>1982.0</c:v>
                </c:pt>
                <c:pt idx="31">
                  <c:v>1983.0</c:v>
                </c:pt>
                <c:pt idx="32">
                  <c:v>1984.0</c:v>
                </c:pt>
                <c:pt idx="33">
                  <c:v>1985.0</c:v>
                </c:pt>
                <c:pt idx="34">
                  <c:v>1986.0</c:v>
                </c:pt>
                <c:pt idx="35">
                  <c:v>1987.0</c:v>
                </c:pt>
                <c:pt idx="36">
                  <c:v>1988.0</c:v>
                </c:pt>
                <c:pt idx="37">
                  <c:v>1989.0</c:v>
                </c:pt>
                <c:pt idx="38">
                  <c:v>1990.0</c:v>
                </c:pt>
                <c:pt idx="39">
                  <c:v>1991.0</c:v>
                </c:pt>
                <c:pt idx="40">
                  <c:v>1992.0</c:v>
                </c:pt>
                <c:pt idx="41">
                  <c:v>1993.0</c:v>
                </c:pt>
                <c:pt idx="42">
                  <c:v>1994.0</c:v>
                </c:pt>
                <c:pt idx="43">
                  <c:v>1995.0</c:v>
                </c:pt>
                <c:pt idx="44">
                  <c:v>1996.0</c:v>
                </c:pt>
                <c:pt idx="45">
                  <c:v>1997.0</c:v>
                </c:pt>
                <c:pt idx="46">
                  <c:v>1998.0</c:v>
                </c:pt>
                <c:pt idx="47">
                  <c:v>1999.0</c:v>
                </c:pt>
                <c:pt idx="48">
                  <c:v>2000.0</c:v>
                </c:pt>
                <c:pt idx="49">
                  <c:v>2001.0</c:v>
                </c:pt>
                <c:pt idx="50">
                  <c:v>2002.0</c:v>
                </c:pt>
                <c:pt idx="51">
                  <c:v>2003.0</c:v>
                </c:pt>
                <c:pt idx="52">
                  <c:v>2004.0</c:v>
                </c:pt>
                <c:pt idx="53">
                  <c:v>2005.0</c:v>
                </c:pt>
                <c:pt idx="54">
                  <c:v>2006.0</c:v>
                </c:pt>
              </c:numCache>
            </c:numRef>
          </c:xVal>
          <c:yVal>
            <c:numRef>
              <c:f>Canada!$D$24:$D$78</c:f>
              <c:numCache>
                <c:formatCode>General</c:formatCode>
                <c:ptCount val="55"/>
                <c:pt idx="0">
                  <c:v>3.0</c:v>
                </c:pt>
                <c:pt idx="1">
                  <c:v>2.6</c:v>
                </c:pt>
                <c:pt idx="2">
                  <c:v>2.8</c:v>
                </c:pt>
                <c:pt idx="3">
                  <c:v>3.2</c:v>
                </c:pt>
                <c:pt idx="4">
                  <c:v>2.6</c:v>
                </c:pt>
                <c:pt idx="5">
                  <c:v>3.2</c:v>
                </c:pt>
                <c:pt idx="6">
                  <c:v>4.2</c:v>
                </c:pt>
                <c:pt idx="7">
                  <c:v>4.0</c:v>
                </c:pt>
                <c:pt idx="8">
                  <c:v>3.6</c:v>
                </c:pt>
                <c:pt idx="9">
                  <c:v>3.4</c:v>
                </c:pt>
                <c:pt idx="10">
                  <c:v>2.6</c:v>
                </c:pt>
                <c:pt idx="11">
                  <c:v>2.6</c:v>
                </c:pt>
                <c:pt idx="12">
                  <c:v>2.2</c:v>
                </c:pt>
                <c:pt idx="13">
                  <c:v>2.6</c:v>
                </c:pt>
                <c:pt idx="14">
                  <c:v>5.6</c:v>
                </c:pt>
                <c:pt idx="15">
                  <c:v>7.4</c:v>
                </c:pt>
                <c:pt idx="16">
                  <c:v>7.2</c:v>
                </c:pt>
                <c:pt idx="17">
                  <c:v>7.4</c:v>
                </c:pt>
                <c:pt idx="18">
                  <c:v>6.8</c:v>
                </c:pt>
                <c:pt idx="19">
                  <c:v>4.8</c:v>
                </c:pt>
                <c:pt idx="20">
                  <c:v>3.6</c:v>
                </c:pt>
                <c:pt idx="21">
                  <c:v>3.0</c:v>
                </c:pt>
                <c:pt idx="22">
                  <c:v>3.0</c:v>
                </c:pt>
                <c:pt idx="23">
                  <c:v>4.2</c:v>
                </c:pt>
                <c:pt idx="24">
                  <c:v>3.2</c:v>
                </c:pt>
                <c:pt idx="25">
                  <c:v>3.4</c:v>
                </c:pt>
                <c:pt idx="26">
                  <c:v>5.0</c:v>
                </c:pt>
                <c:pt idx="27">
                  <c:v>5.0</c:v>
                </c:pt>
                <c:pt idx="28">
                  <c:v>4.6</c:v>
                </c:pt>
                <c:pt idx="29">
                  <c:v>5.2</c:v>
                </c:pt>
                <c:pt idx="30">
                  <c:v>5.8</c:v>
                </c:pt>
                <c:pt idx="31">
                  <c:v>6.8</c:v>
                </c:pt>
                <c:pt idx="32">
                  <c:v>6.8</c:v>
                </c:pt>
                <c:pt idx="33">
                  <c:v>6.6</c:v>
                </c:pt>
                <c:pt idx="34">
                  <c:v>6.0</c:v>
                </c:pt>
                <c:pt idx="35">
                  <c:v>4.6</c:v>
                </c:pt>
                <c:pt idx="36">
                  <c:v>2.2</c:v>
                </c:pt>
                <c:pt idx="37">
                  <c:v>1.6</c:v>
                </c:pt>
                <c:pt idx="38">
                  <c:v>1.2</c:v>
                </c:pt>
                <c:pt idx="39">
                  <c:v>1.4</c:v>
                </c:pt>
                <c:pt idx="40">
                  <c:v>1.6</c:v>
                </c:pt>
                <c:pt idx="41">
                  <c:v>2.0</c:v>
                </c:pt>
                <c:pt idx="42">
                  <c:v>3.0</c:v>
                </c:pt>
                <c:pt idx="43">
                  <c:v>2.8</c:v>
                </c:pt>
                <c:pt idx="44">
                  <c:v>3.2</c:v>
                </c:pt>
                <c:pt idx="45">
                  <c:v>5.0</c:v>
                </c:pt>
                <c:pt idx="46">
                  <c:v>5.4</c:v>
                </c:pt>
                <c:pt idx="47">
                  <c:v>5.2</c:v>
                </c:pt>
                <c:pt idx="48">
                  <c:v>5.2</c:v>
                </c:pt>
                <c:pt idx="49">
                  <c:v>4.8</c:v>
                </c:pt>
                <c:pt idx="50">
                  <c:v>3.8</c:v>
                </c:pt>
                <c:pt idx="51">
                  <c:v>4.2</c:v>
                </c:pt>
                <c:pt idx="52">
                  <c:v>5.4</c:v>
                </c:pt>
                <c:pt idx="53">
                  <c:v>8.0</c:v>
                </c:pt>
                <c:pt idx="54">
                  <c:v>8.4</c:v>
                </c:pt>
              </c:numCache>
            </c:numRef>
          </c:yVal>
          <c:smooth val="0"/>
        </c:ser>
        <c:ser>
          <c:idx val="1"/>
          <c:order val="1"/>
          <c:spPr>
            <a:ln w="15875">
              <a:solidFill>
                <a:schemeClr val="tx1"/>
              </a:solidFill>
              <a:prstDash val="dash"/>
            </a:ln>
          </c:spPr>
          <c:marker>
            <c:symbol val="none"/>
          </c:marker>
          <c:xVal>
            <c:numRef>
              <c:f>Canada!$C$24:$C$78</c:f>
              <c:numCache>
                <c:formatCode>General</c:formatCode>
                <c:ptCount val="55"/>
                <c:pt idx="0">
                  <c:v>1952.0</c:v>
                </c:pt>
                <c:pt idx="1">
                  <c:v>1953.0</c:v>
                </c:pt>
                <c:pt idx="2">
                  <c:v>1954.0</c:v>
                </c:pt>
                <c:pt idx="3">
                  <c:v>1955.0</c:v>
                </c:pt>
                <c:pt idx="4">
                  <c:v>1956.0</c:v>
                </c:pt>
                <c:pt idx="5">
                  <c:v>1957.0</c:v>
                </c:pt>
                <c:pt idx="6">
                  <c:v>1958.0</c:v>
                </c:pt>
                <c:pt idx="7">
                  <c:v>1959.0</c:v>
                </c:pt>
                <c:pt idx="8">
                  <c:v>1960.0</c:v>
                </c:pt>
                <c:pt idx="9">
                  <c:v>1961.0</c:v>
                </c:pt>
                <c:pt idx="10">
                  <c:v>1962.0</c:v>
                </c:pt>
                <c:pt idx="11">
                  <c:v>1963.0</c:v>
                </c:pt>
                <c:pt idx="12">
                  <c:v>1964.0</c:v>
                </c:pt>
                <c:pt idx="13">
                  <c:v>1965.0</c:v>
                </c:pt>
                <c:pt idx="14">
                  <c:v>1966.0</c:v>
                </c:pt>
                <c:pt idx="15">
                  <c:v>1967.0</c:v>
                </c:pt>
                <c:pt idx="16">
                  <c:v>1968.0</c:v>
                </c:pt>
                <c:pt idx="17">
                  <c:v>1969.0</c:v>
                </c:pt>
                <c:pt idx="18">
                  <c:v>1970.0</c:v>
                </c:pt>
                <c:pt idx="19">
                  <c:v>1971.0</c:v>
                </c:pt>
                <c:pt idx="20">
                  <c:v>1972.0</c:v>
                </c:pt>
                <c:pt idx="21">
                  <c:v>1973.0</c:v>
                </c:pt>
                <c:pt idx="22">
                  <c:v>1974.0</c:v>
                </c:pt>
                <c:pt idx="23">
                  <c:v>1975.0</c:v>
                </c:pt>
                <c:pt idx="24">
                  <c:v>1976.0</c:v>
                </c:pt>
                <c:pt idx="25">
                  <c:v>1977.0</c:v>
                </c:pt>
                <c:pt idx="26">
                  <c:v>1978.0</c:v>
                </c:pt>
                <c:pt idx="27">
                  <c:v>1979.0</c:v>
                </c:pt>
                <c:pt idx="28">
                  <c:v>1980.0</c:v>
                </c:pt>
                <c:pt idx="29">
                  <c:v>1981.0</c:v>
                </c:pt>
                <c:pt idx="30">
                  <c:v>1982.0</c:v>
                </c:pt>
                <c:pt idx="31">
                  <c:v>1983.0</c:v>
                </c:pt>
                <c:pt idx="32">
                  <c:v>1984.0</c:v>
                </c:pt>
                <c:pt idx="33">
                  <c:v>1985.0</c:v>
                </c:pt>
                <c:pt idx="34">
                  <c:v>1986.0</c:v>
                </c:pt>
                <c:pt idx="35">
                  <c:v>1987.0</c:v>
                </c:pt>
                <c:pt idx="36">
                  <c:v>1988.0</c:v>
                </c:pt>
                <c:pt idx="37">
                  <c:v>1989.0</c:v>
                </c:pt>
                <c:pt idx="38">
                  <c:v>1990.0</c:v>
                </c:pt>
                <c:pt idx="39">
                  <c:v>1991.0</c:v>
                </c:pt>
                <c:pt idx="40">
                  <c:v>1992.0</c:v>
                </c:pt>
                <c:pt idx="41">
                  <c:v>1993.0</c:v>
                </c:pt>
                <c:pt idx="42">
                  <c:v>1994.0</c:v>
                </c:pt>
                <c:pt idx="43">
                  <c:v>1995.0</c:v>
                </c:pt>
                <c:pt idx="44">
                  <c:v>1996.0</c:v>
                </c:pt>
                <c:pt idx="45">
                  <c:v>1997.0</c:v>
                </c:pt>
                <c:pt idx="46">
                  <c:v>1998.0</c:v>
                </c:pt>
                <c:pt idx="47">
                  <c:v>1999.0</c:v>
                </c:pt>
                <c:pt idx="48">
                  <c:v>2000.0</c:v>
                </c:pt>
                <c:pt idx="49">
                  <c:v>2001.0</c:v>
                </c:pt>
                <c:pt idx="50">
                  <c:v>2002.0</c:v>
                </c:pt>
                <c:pt idx="51">
                  <c:v>2003.0</c:v>
                </c:pt>
                <c:pt idx="52">
                  <c:v>2004.0</c:v>
                </c:pt>
                <c:pt idx="53">
                  <c:v>2005.0</c:v>
                </c:pt>
                <c:pt idx="54">
                  <c:v>2006.0</c:v>
                </c:pt>
              </c:numCache>
            </c:numRef>
          </c:xVal>
          <c:yVal>
            <c:numRef>
              <c:f>Canada!$F$24:$F$78</c:f>
              <c:numCache>
                <c:formatCode>General</c:formatCode>
                <c:ptCount val="55"/>
                <c:pt idx="0">
                  <c:v>4.788854381999832</c:v>
                </c:pt>
                <c:pt idx="1">
                  <c:v>4.754065922853801</c:v>
                </c:pt>
                <c:pt idx="2">
                  <c:v>5.115167380558045</c:v>
                </c:pt>
                <c:pt idx="3">
                  <c:v>5.515167380558046</c:v>
                </c:pt>
                <c:pt idx="4">
                  <c:v>4.454723699099141</c:v>
                </c:pt>
                <c:pt idx="5">
                  <c:v>4.920465053408526</c:v>
                </c:pt>
                <c:pt idx="6">
                  <c:v>4.948331477354788</c:v>
                </c:pt>
                <c:pt idx="7">
                  <c:v>4.632455532033676</c:v>
                </c:pt>
                <c:pt idx="8">
                  <c:v>4.619803902718557</c:v>
                </c:pt>
                <c:pt idx="9">
                  <c:v>4.6</c:v>
                </c:pt>
                <c:pt idx="10">
                  <c:v>4.343559577416268</c:v>
                </c:pt>
                <c:pt idx="11">
                  <c:v>4.343559577416268</c:v>
                </c:pt>
                <c:pt idx="12">
                  <c:v>3.8</c:v>
                </c:pt>
                <c:pt idx="13">
                  <c:v>4.343559577416268</c:v>
                </c:pt>
                <c:pt idx="14">
                  <c:v>11.55315042645488</c:v>
                </c:pt>
                <c:pt idx="15">
                  <c:v>12.71413210223457</c:v>
                </c:pt>
                <c:pt idx="16">
                  <c:v>12.61848687365763</c:v>
                </c:pt>
                <c:pt idx="17">
                  <c:v>12.63832034148351</c:v>
                </c:pt>
                <c:pt idx="18">
                  <c:v>12.54108003776293</c:v>
                </c:pt>
                <c:pt idx="19">
                  <c:v>7.656571371417139</c:v>
                </c:pt>
                <c:pt idx="20">
                  <c:v>5.559591794226543</c:v>
                </c:pt>
                <c:pt idx="21">
                  <c:v>5.190890230020664</c:v>
                </c:pt>
                <c:pt idx="22">
                  <c:v>5.190890230020664</c:v>
                </c:pt>
                <c:pt idx="23">
                  <c:v>6.6</c:v>
                </c:pt>
                <c:pt idx="24">
                  <c:v>5.239607805437114</c:v>
                </c:pt>
                <c:pt idx="25">
                  <c:v>5.459126028197399</c:v>
                </c:pt>
                <c:pt idx="26">
                  <c:v>7.607680962081059</c:v>
                </c:pt>
                <c:pt idx="27">
                  <c:v>7.607680962081059</c:v>
                </c:pt>
                <c:pt idx="28">
                  <c:v>7.016609194718914</c:v>
                </c:pt>
                <c:pt idx="29">
                  <c:v>7.239607805437114</c:v>
                </c:pt>
                <c:pt idx="30">
                  <c:v>7.839607805437113</c:v>
                </c:pt>
                <c:pt idx="31">
                  <c:v>10.61575680566778</c:v>
                </c:pt>
                <c:pt idx="32">
                  <c:v>10.61575680566778</c:v>
                </c:pt>
                <c:pt idx="33">
                  <c:v>10.5293765408777</c:v>
                </c:pt>
                <c:pt idx="34">
                  <c:v>10.33589667773576</c:v>
                </c:pt>
                <c:pt idx="35">
                  <c:v>9.48262224629348</c:v>
                </c:pt>
                <c:pt idx="36">
                  <c:v>3.52664991614216</c:v>
                </c:pt>
                <c:pt idx="37">
                  <c:v>3.096662954709576</c:v>
                </c:pt>
                <c:pt idx="38">
                  <c:v>2.179795897113271</c:v>
                </c:pt>
                <c:pt idx="39">
                  <c:v>2.599999999999999</c:v>
                </c:pt>
                <c:pt idx="40">
                  <c:v>2.619803902718557</c:v>
                </c:pt>
                <c:pt idx="41">
                  <c:v>3.414213562373095</c:v>
                </c:pt>
                <c:pt idx="42">
                  <c:v>4.414213562373095</c:v>
                </c:pt>
                <c:pt idx="43">
                  <c:v>4.4</c:v>
                </c:pt>
                <c:pt idx="44">
                  <c:v>5.033030277982336</c:v>
                </c:pt>
                <c:pt idx="45">
                  <c:v>7.898275349237887</c:v>
                </c:pt>
                <c:pt idx="46">
                  <c:v>8.270540018881467</c:v>
                </c:pt>
                <c:pt idx="47">
                  <c:v>8.125747767665558</c:v>
                </c:pt>
                <c:pt idx="48">
                  <c:v>8.125747767665558</c:v>
                </c:pt>
                <c:pt idx="49">
                  <c:v>7.859411708155671</c:v>
                </c:pt>
                <c:pt idx="50">
                  <c:v>5.520465053408525</c:v>
                </c:pt>
                <c:pt idx="51">
                  <c:v>6.515167380558046</c:v>
                </c:pt>
                <c:pt idx="52">
                  <c:v>8.661901286060018</c:v>
                </c:pt>
                <c:pt idx="53">
                  <c:v>11.84707681233427</c:v>
                </c:pt>
                <c:pt idx="54">
                  <c:v>11.78230690505755</c:v>
                </c:pt>
              </c:numCache>
            </c:numRef>
          </c:yVal>
          <c:smooth val="0"/>
        </c:ser>
        <c:ser>
          <c:idx val="2"/>
          <c:order val="2"/>
          <c:spPr>
            <a:ln w="15875">
              <a:solidFill>
                <a:schemeClr val="tx1"/>
              </a:solidFill>
              <a:prstDash val="dash"/>
            </a:ln>
          </c:spPr>
          <c:marker>
            <c:symbol val="none"/>
          </c:marker>
          <c:xVal>
            <c:numRef>
              <c:f>Canada!$C$24:$C$78</c:f>
              <c:numCache>
                <c:formatCode>General</c:formatCode>
                <c:ptCount val="55"/>
                <c:pt idx="0">
                  <c:v>1952.0</c:v>
                </c:pt>
                <c:pt idx="1">
                  <c:v>1953.0</c:v>
                </c:pt>
                <c:pt idx="2">
                  <c:v>1954.0</c:v>
                </c:pt>
                <c:pt idx="3">
                  <c:v>1955.0</c:v>
                </c:pt>
                <c:pt idx="4">
                  <c:v>1956.0</c:v>
                </c:pt>
                <c:pt idx="5">
                  <c:v>1957.0</c:v>
                </c:pt>
                <c:pt idx="6">
                  <c:v>1958.0</c:v>
                </c:pt>
                <c:pt idx="7">
                  <c:v>1959.0</c:v>
                </c:pt>
                <c:pt idx="8">
                  <c:v>1960.0</c:v>
                </c:pt>
                <c:pt idx="9">
                  <c:v>1961.0</c:v>
                </c:pt>
                <c:pt idx="10">
                  <c:v>1962.0</c:v>
                </c:pt>
                <c:pt idx="11">
                  <c:v>1963.0</c:v>
                </c:pt>
                <c:pt idx="12">
                  <c:v>1964.0</c:v>
                </c:pt>
                <c:pt idx="13">
                  <c:v>1965.0</c:v>
                </c:pt>
                <c:pt idx="14">
                  <c:v>1966.0</c:v>
                </c:pt>
                <c:pt idx="15">
                  <c:v>1967.0</c:v>
                </c:pt>
                <c:pt idx="16">
                  <c:v>1968.0</c:v>
                </c:pt>
                <c:pt idx="17">
                  <c:v>1969.0</c:v>
                </c:pt>
                <c:pt idx="18">
                  <c:v>1970.0</c:v>
                </c:pt>
                <c:pt idx="19">
                  <c:v>1971.0</c:v>
                </c:pt>
                <c:pt idx="20">
                  <c:v>1972.0</c:v>
                </c:pt>
                <c:pt idx="21">
                  <c:v>1973.0</c:v>
                </c:pt>
                <c:pt idx="22">
                  <c:v>1974.0</c:v>
                </c:pt>
                <c:pt idx="23">
                  <c:v>1975.0</c:v>
                </c:pt>
                <c:pt idx="24">
                  <c:v>1976.0</c:v>
                </c:pt>
                <c:pt idx="25">
                  <c:v>1977.0</c:v>
                </c:pt>
                <c:pt idx="26">
                  <c:v>1978.0</c:v>
                </c:pt>
                <c:pt idx="27">
                  <c:v>1979.0</c:v>
                </c:pt>
                <c:pt idx="28">
                  <c:v>1980.0</c:v>
                </c:pt>
                <c:pt idx="29">
                  <c:v>1981.0</c:v>
                </c:pt>
                <c:pt idx="30">
                  <c:v>1982.0</c:v>
                </c:pt>
                <c:pt idx="31">
                  <c:v>1983.0</c:v>
                </c:pt>
                <c:pt idx="32">
                  <c:v>1984.0</c:v>
                </c:pt>
                <c:pt idx="33">
                  <c:v>1985.0</c:v>
                </c:pt>
                <c:pt idx="34">
                  <c:v>1986.0</c:v>
                </c:pt>
                <c:pt idx="35">
                  <c:v>1987.0</c:v>
                </c:pt>
                <c:pt idx="36">
                  <c:v>1988.0</c:v>
                </c:pt>
                <c:pt idx="37">
                  <c:v>1989.0</c:v>
                </c:pt>
                <c:pt idx="38">
                  <c:v>1990.0</c:v>
                </c:pt>
                <c:pt idx="39">
                  <c:v>1991.0</c:v>
                </c:pt>
                <c:pt idx="40">
                  <c:v>1992.0</c:v>
                </c:pt>
                <c:pt idx="41">
                  <c:v>1993.0</c:v>
                </c:pt>
                <c:pt idx="42">
                  <c:v>1994.0</c:v>
                </c:pt>
                <c:pt idx="43">
                  <c:v>1995.0</c:v>
                </c:pt>
                <c:pt idx="44">
                  <c:v>1996.0</c:v>
                </c:pt>
                <c:pt idx="45">
                  <c:v>1997.0</c:v>
                </c:pt>
                <c:pt idx="46">
                  <c:v>1998.0</c:v>
                </c:pt>
                <c:pt idx="47">
                  <c:v>1999.0</c:v>
                </c:pt>
                <c:pt idx="48">
                  <c:v>2000.0</c:v>
                </c:pt>
                <c:pt idx="49">
                  <c:v>2001.0</c:v>
                </c:pt>
                <c:pt idx="50">
                  <c:v>2002.0</c:v>
                </c:pt>
                <c:pt idx="51">
                  <c:v>2003.0</c:v>
                </c:pt>
                <c:pt idx="52">
                  <c:v>2004.0</c:v>
                </c:pt>
                <c:pt idx="53">
                  <c:v>2005.0</c:v>
                </c:pt>
                <c:pt idx="54">
                  <c:v>2006.0</c:v>
                </c:pt>
              </c:numCache>
            </c:numRef>
          </c:xVal>
          <c:yVal>
            <c:numRef>
              <c:f>Canada!$G$24:$G$78</c:f>
              <c:numCache>
                <c:formatCode>General</c:formatCode>
                <c:ptCount val="55"/>
                <c:pt idx="0">
                  <c:v>1.211145618000168</c:v>
                </c:pt>
                <c:pt idx="1">
                  <c:v>0.445934077146199</c:v>
                </c:pt>
                <c:pt idx="2">
                  <c:v>0.484832619441955</c:v>
                </c:pt>
                <c:pt idx="3">
                  <c:v>0.884832619441955</c:v>
                </c:pt>
                <c:pt idx="4">
                  <c:v>0.745276300900859</c:v>
                </c:pt>
                <c:pt idx="5">
                  <c:v>1.479534946591475</c:v>
                </c:pt>
                <c:pt idx="6">
                  <c:v>3.451668522645211</c:v>
                </c:pt>
                <c:pt idx="7">
                  <c:v>3.367544467966324</c:v>
                </c:pt>
                <c:pt idx="8">
                  <c:v>2.580196097281444</c:v>
                </c:pt>
                <c:pt idx="9">
                  <c:v>2.2</c:v>
                </c:pt>
                <c:pt idx="10">
                  <c:v>0.856440422583731</c:v>
                </c:pt>
                <c:pt idx="11">
                  <c:v>0.856440422583731</c:v>
                </c:pt>
                <c:pt idx="12">
                  <c:v>0.6</c:v>
                </c:pt>
                <c:pt idx="13">
                  <c:v>0.856440422583731</c:v>
                </c:pt>
                <c:pt idx="14">
                  <c:v>-0.353150426454887</c:v>
                </c:pt>
                <c:pt idx="15">
                  <c:v>2.085867897765431</c:v>
                </c:pt>
                <c:pt idx="16">
                  <c:v>1.781513126342374</c:v>
                </c:pt>
                <c:pt idx="17">
                  <c:v>2.161679658516483</c:v>
                </c:pt>
                <c:pt idx="18">
                  <c:v>1.05891996223707</c:v>
                </c:pt>
                <c:pt idx="19">
                  <c:v>1.94342862858286</c:v>
                </c:pt>
                <c:pt idx="20">
                  <c:v>1.640408205773458</c:v>
                </c:pt>
                <c:pt idx="21">
                  <c:v>0.809109769979336</c:v>
                </c:pt>
                <c:pt idx="22">
                  <c:v>0.809109769979336</c:v>
                </c:pt>
                <c:pt idx="23">
                  <c:v>1.8</c:v>
                </c:pt>
                <c:pt idx="24">
                  <c:v>1.160392194562886</c:v>
                </c:pt>
                <c:pt idx="25">
                  <c:v>1.3408739718026</c:v>
                </c:pt>
                <c:pt idx="26">
                  <c:v>2.39231903791894</c:v>
                </c:pt>
                <c:pt idx="27">
                  <c:v>2.39231903791894</c:v>
                </c:pt>
                <c:pt idx="28">
                  <c:v>2.183390805281085</c:v>
                </c:pt>
                <c:pt idx="29">
                  <c:v>3.160392194562886</c:v>
                </c:pt>
                <c:pt idx="30">
                  <c:v>3.760392194562886</c:v>
                </c:pt>
                <c:pt idx="31">
                  <c:v>2.984243194332217</c:v>
                </c:pt>
                <c:pt idx="32">
                  <c:v>2.984243194332217</c:v>
                </c:pt>
                <c:pt idx="33">
                  <c:v>2.6706234591223</c:v>
                </c:pt>
                <c:pt idx="34">
                  <c:v>1.66410332226424</c:v>
                </c:pt>
                <c:pt idx="35">
                  <c:v>-0.282622246293482</c:v>
                </c:pt>
                <c:pt idx="36">
                  <c:v>0.87335008385784</c:v>
                </c:pt>
                <c:pt idx="37">
                  <c:v>0.103337045290423</c:v>
                </c:pt>
                <c:pt idx="38">
                  <c:v>0.220204102886729</c:v>
                </c:pt>
                <c:pt idx="39">
                  <c:v>0.2</c:v>
                </c:pt>
                <c:pt idx="40">
                  <c:v>0.580196097281443</c:v>
                </c:pt>
                <c:pt idx="41">
                  <c:v>0.585786437626905</c:v>
                </c:pt>
                <c:pt idx="42">
                  <c:v>1.585786437626905</c:v>
                </c:pt>
                <c:pt idx="43">
                  <c:v>1.199999999999999</c:v>
                </c:pt>
                <c:pt idx="44">
                  <c:v>1.366969722017664</c:v>
                </c:pt>
                <c:pt idx="45">
                  <c:v>2.101724650762113</c:v>
                </c:pt>
                <c:pt idx="46">
                  <c:v>2.529459981118535</c:v>
                </c:pt>
                <c:pt idx="47">
                  <c:v>2.274252232334441</c:v>
                </c:pt>
                <c:pt idx="48">
                  <c:v>2.274252232334441</c:v>
                </c:pt>
                <c:pt idx="49">
                  <c:v>1.740588291844329</c:v>
                </c:pt>
                <c:pt idx="50">
                  <c:v>2.079534946591475</c:v>
                </c:pt>
                <c:pt idx="51">
                  <c:v>1.884832619441955</c:v>
                </c:pt>
                <c:pt idx="52">
                  <c:v>2.138098713939982</c:v>
                </c:pt>
                <c:pt idx="53">
                  <c:v>4.15292318766573</c:v>
                </c:pt>
                <c:pt idx="54">
                  <c:v>5.017693094942448</c:v>
                </c:pt>
              </c:numCache>
            </c:numRef>
          </c:yVal>
          <c:smooth val="0"/>
        </c:ser>
        <c:dLbls>
          <c:showLegendKey val="0"/>
          <c:showVal val="0"/>
          <c:showCatName val="0"/>
          <c:showSerName val="0"/>
          <c:showPercent val="0"/>
          <c:showBubbleSize val="0"/>
        </c:dLbls>
        <c:axId val="465903272"/>
        <c:axId val="465906168"/>
      </c:scatterChart>
      <c:valAx>
        <c:axId val="465903272"/>
        <c:scaling>
          <c:orientation val="minMax"/>
          <c:min val="1950.0"/>
        </c:scaling>
        <c:delete val="0"/>
        <c:axPos val="b"/>
        <c:majorGridlines/>
        <c:numFmt formatCode="General" sourceLinked="1"/>
        <c:majorTickMark val="out"/>
        <c:minorTickMark val="none"/>
        <c:tickLblPos val="nextTo"/>
        <c:txPr>
          <a:bodyPr/>
          <a:lstStyle/>
          <a:p>
            <a:pPr>
              <a:defRPr sz="800"/>
            </a:pPr>
            <a:endParaRPr lang="en-US"/>
          </a:p>
        </c:txPr>
        <c:crossAx val="465906168"/>
        <c:crosses val="autoZero"/>
        <c:crossBetween val="midCat"/>
      </c:valAx>
      <c:valAx>
        <c:axId val="465906168"/>
        <c:scaling>
          <c:orientation val="minMax"/>
          <c:min val="0.0"/>
        </c:scaling>
        <c:delete val="0"/>
        <c:axPos val="l"/>
        <c:majorGridlines>
          <c:spPr>
            <a:ln>
              <a:noFill/>
            </a:ln>
          </c:spPr>
        </c:majorGridlines>
        <c:numFmt formatCode="General" sourceLinked="1"/>
        <c:majorTickMark val="out"/>
        <c:minorTickMark val="none"/>
        <c:tickLblPos val="nextTo"/>
        <c:txPr>
          <a:bodyPr/>
          <a:lstStyle/>
          <a:p>
            <a:pPr>
              <a:defRPr sz="800"/>
            </a:pPr>
            <a:endParaRPr lang="en-US"/>
          </a:p>
        </c:txPr>
        <c:crossAx val="46590327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Tornado Environments (Ontario), 5-yr mean</a:t>
            </a:r>
          </a:p>
        </c:rich>
      </c:tx>
      <c:layout/>
      <c:overlay val="0"/>
    </c:title>
    <c:autoTitleDeleted val="0"/>
    <c:plotArea>
      <c:layout/>
      <c:scatterChart>
        <c:scatterStyle val="lineMarker"/>
        <c:varyColors val="0"/>
        <c:ser>
          <c:idx val="0"/>
          <c:order val="0"/>
          <c:spPr>
            <a:ln w="22225">
              <a:solidFill>
                <a:srgbClr val="FF0000"/>
              </a:solidFill>
            </a:ln>
          </c:spPr>
          <c:marker>
            <c:symbol val="none"/>
          </c:marker>
          <c:xVal>
            <c:numRef>
              <c:f>ontario_cts!$C$5:$C$73</c:f>
              <c:numCache>
                <c:formatCode>General</c:formatCode>
                <c:ptCount val="69"/>
                <c:pt idx="0">
                  <c:v>1942.0</c:v>
                </c:pt>
                <c:pt idx="1">
                  <c:v>1943.0</c:v>
                </c:pt>
                <c:pt idx="2">
                  <c:v>1944.0</c:v>
                </c:pt>
                <c:pt idx="3">
                  <c:v>1945.0</c:v>
                </c:pt>
                <c:pt idx="4">
                  <c:v>1946.0</c:v>
                </c:pt>
                <c:pt idx="5">
                  <c:v>1947.0</c:v>
                </c:pt>
                <c:pt idx="6">
                  <c:v>1948.0</c:v>
                </c:pt>
                <c:pt idx="7">
                  <c:v>1949.0</c:v>
                </c:pt>
                <c:pt idx="8">
                  <c:v>1950.0</c:v>
                </c:pt>
                <c:pt idx="9">
                  <c:v>1951.0</c:v>
                </c:pt>
                <c:pt idx="10">
                  <c:v>1952.0</c:v>
                </c:pt>
                <c:pt idx="11">
                  <c:v>1953.0</c:v>
                </c:pt>
                <c:pt idx="12">
                  <c:v>1954.0</c:v>
                </c:pt>
                <c:pt idx="13">
                  <c:v>1955.0</c:v>
                </c:pt>
                <c:pt idx="14">
                  <c:v>1956.0</c:v>
                </c:pt>
                <c:pt idx="15">
                  <c:v>1957.0</c:v>
                </c:pt>
                <c:pt idx="16">
                  <c:v>1958.0</c:v>
                </c:pt>
                <c:pt idx="17">
                  <c:v>1959.0</c:v>
                </c:pt>
                <c:pt idx="18">
                  <c:v>1960.0</c:v>
                </c:pt>
                <c:pt idx="19">
                  <c:v>1961.0</c:v>
                </c:pt>
                <c:pt idx="20">
                  <c:v>1962.0</c:v>
                </c:pt>
                <c:pt idx="21">
                  <c:v>1963.0</c:v>
                </c:pt>
                <c:pt idx="22">
                  <c:v>1964.0</c:v>
                </c:pt>
                <c:pt idx="23">
                  <c:v>1965.0</c:v>
                </c:pt>
                <c:pt idx="24">
                  <c:v>1966.0</c:v>
                </c:pt>
                <c:pt idx="25">
                  <c:v>1967.0</c:v>
                </c:pt>
                <c:pt idx="26">
                  <c:v>1968.0</c:v>
                </c:pt>
                <c:pt idx="27">
                  <c:v>1969.0</c:v>
                </c:pt>
                <c:pt idx="28">
                  <c:v>1970.0</c:v>
                </c:pt>
                <c:pt idx="29">
                  <c:v>1971.0</c:v>
                </c:pt>
                <c:pt idx="30">
                  <c:v>1972.0</c:v>
                </c:pt>
                <c:pt idx="31">
                  <c:v>1973.0</c:v>
                </c:pt>
                <c:pt idx="32">
                  <c:v>1974.0</c:v>
                </c:pt>
                <c:pt idx="33">
                  <c:v>1975.0</c:v>
                </c:pt>
                <c:pt idx="34">
                  <c:v>1976.0</c:v>
                </c:pt>
                <c:pt idx="35">
                  <c:v>1977.0</c:v>
                </c:pt>
                <c:pt idx="36">
                  <c:v>1978.0</c:v>
                </c:pt>
                <c:pt idx="37">
                  <c:v>1979.0</c:v>
                </c:pt>
                <c:pt idx="38">
                  <c:v>1980.0</c:v>
                </c:pt>
                <c:pt idx="39">
                  <c:v>1981.0</c:v>
                </c:pt>
                <c:pt idx="40">
                  <c:v>1982.0</c:v>
                </c:pt>
                <c:pt idx="41">
                  <c:v>1983.0</c:v>
                </c:pt>
                <c:pt idx="42">
                  <c:v>1984.0</c:v>
                </c:pt>
                <c:pt idx="43">
                  <c:v>1985.0</c:v>
                </c:pt>
                <c:pt idx="44">
                  <c:v>1986.0</c:v>
                </c:pt>
                <c:pt idx="45">
                  <c:v>1987.0</c:v>
                </c:pt>
                <c:pt idx="46">
                  <c:v>1988.0</c:v>
                </c:pt>
                <c:pt idx="47">
                  <c:v>1989.0</c:v>
                </c:pt>
                <c:pt idx="48">
                  <c:v>1990.0</c:v>
                </c:pt>
                <c:pt idx="49">
                  <c:v>1991.0</c:v>
                </c:pt>
                <c:pt idx="50">
                  <c:v>1992.0</c:v>
                </c:pt>
                <c:pt idx="51">
                  <c:v>1993.0</c:v>
                </c:pt>
                <c:pt idx="52">
                  <c:v>1994.0</c:v>
                </c:pt>
                <c:pt idx="53">
                  <c:v>1995.0</c:v>
                </c:pt>
                <c:pt idx="54">
                  <c:v>1996.0</c:v>
                </c:pt>
                <c:pt idx="55">
                  <c:v>1997.0</c:v>
                </c:pt>
                <c:pt idx="56">
                  <c:v>1998.0</c:v>
                </c:pt>
                <c:pt idx="57">
                  <c:v>1999.0</c:v>
                </c:pt>
                <c:pt idx="58">
                  <c:v>2000.0</c:v>
                </c:pt>
                <c:pt idx="59">
                  <c:v>2001.0</c:v>
                </c:pt>
                <c:pt idx="60">
                  <c:v>2002.0</c:v>
                </c:pt>
                <c:pt idx="61">
                  <c:v>2003.0</c:v>
                </c:pt>
                <c:pt idx="62">
                  <c:v>2004.0</c:v>
                </c:pt>
                <c:pt idx="63">
                  <c:v>2005.0</c:v>
                </c:pt>
                <c:pt idx="64">
                  <c:v>2006.0</c:v>
                </c:pt>
                <c:pt idx="65">
                  <c:v>2007.0</c:v>
                </c:pt>
                <c:pt idx="66">
                  <c:v>2008.0</c:v>
                </c:pt>
                <c:pt idx="67">
                  <c:v>2009.0</c:v>
                </c:pt>
                <c:pt idx="68">
                  <c:v>2010.0</c:v>
                </c:pt>
              </c:numCache>
            </c:numRef>
          </c:xVal>
          <c:yVal>
            <c:numRef>
              <c:f>ontario_cts!$D$5:$D$73</c:f>
              <c:numCache>
                <c:formatCode>0.0</c:formatCode>
                <c:ptCount val="69"/>
                <c:pt idx="0">
                  <c:v>511.6</c:v>
                </c:pt>
                <c:pt idx="1">
                  <c:v>500.4</c:v>
                </c:pt>
                <c:pt idx="2">
                  <c:v>458.0</c:v>
                </c:pt>
                <c:pt idx="3">
                  <c:v>440.2</c:v>
                </c:pt>
                <c:pt idx="4">
                  <c:v>421.4</c:v>
                </c:pt>
                <c:pt idx="5">
                  <c:v>421.6</c:v>
                </c:pt>
                <c:pt idx="6">
                  <c:v>401.2</c:v>
                </c:pt>
                <c:pt idx="7">
                  <c:v>415.4</c:v>
                </c:pt>
                <c:pt idx="8">
                  <c:v>444.6</c:v>
                </c:pt>
                <c:pt idx="9">
                  <c:v>444.4</c:v>
                </c:pt>
                <c:pt idx="10">
                  <c:v>433.0</c:v>
                </c:pt>
                <c:pt idx="11">
                  <c:v>470.4</c:v>
                </c:pt>
                <c:pt idx="12">
                  <c:v>482.6</c:v>
                </c:pt>
                <c:pt idx="13">
                  <c:v>439.2</c:v>
                </c:pt>
                <c:pt idx="14">
                  <c:v>478.2</c:v>
                </c:pt>
                <c:pt idx="15">
                  <c:v>506.6</c:v>
                </c:pt>
                <c:pt idx="16">
                  <c:v>498.8</c:v>
                </c:pt>
                <c:pt idx="17">
                  <c:v>525.0</c:v>
                </c:pt>
                <c:pt idx="18">
                  <c:v>520.6</c:v>
                </c:pt>
                <c:pt idx="19">
                  <c:v>466.4</c:v>
                </c:pt>
                <c:pt idx="20">
                  <c:v>470.4</c:v>
                </c:pt>
                <c:pt idx="21">
                  <c:v>461.6</c:v>
                </c:pt>
                <c:pt idx="22">
                  <c:v>424.2</c:v>
                </c:pt>
                <c:pt idx="23">
                  <c:v>420.8</c:v>
                </c:pt>
                <c:pt idx="24">
                  <c:v>450.0</c:v>
                </c:pt>
                <c:pt idx="25">
                  <c:v>432.0</c:v>
                </c:pt>
                <c:pt idx="26">
                  <c:v>442.8</c:v>
                </c:pt>
                <c:pt idx="27">
                  <c:v>475.4</c:v>
                </c:pt>
                <c:pt idx="28">
                  <c:v>505.0</c:v>
                </c:pt>
                <c:pt idx="29">
                  <c:v>507.0</c:v>
                </c:pt>
                <c:pt idx="30">
                  <c:v>483.8</c:v>
                </c:pt>
                <c:pt idx="31">
                  <c:v>486.8</c:v>
                </c:pt>
                <c:pt idx="32">
                  <c:v>442.8</c:v>
                </c:pt>
                <c:pt idx="33">
                  <c:v>442.0</c:v>
                </c:pt>
                <c:pt idx="34">
                  <c:v>451.8</c:v>
                </c:pt>
                <c:pt idx="35">
                  <c:v>458.4</c:v>
                </c:pt>
                <c:pt idx="36">
                  <c:v>459.8</c:v>
                </c:pt>
                <c:pt idx="37">
                  <c:v>473.6</c:v>
                </c:pt>
                <c:pt idx="38">
                  <c:v>447.0</c:v>
                </c:pt>
                <c:pt idx="39">
                  <c:v>412.0</c:v>
                </c:pt>
                <c:pt idx="40">
                  <c:v>427.6</c:v>
                </c:pt>
                <c:pt idx="41">
                  <c:v>410.4</c:v>
                </c:pt>
                <c:pt idx="42">
                  <c:v>401.6</c:v>
                </c:pt>
                <c:pt idx="43">
                  <c:v>440.2</c:v>
                </c:pt>
                <c:pt idx="44">
                  <c:v>460.6</c:v>
                </c:pt>
                <c:pt idx="45">
                  <c:v>419.6</c:v>
                </c:pt>
                <c:pt idx="46">
                  <c:v>410.4</c:v>
                </c:pt>
                <c:pt idx="47">
                  <c:v>410.4</c:v>
                </c:pt>
                <c:pt idx="48">
                  <c:v>388.6</c:v>
                </c:pt>
                <c:pt idx="49">
                  <c:v>372.6</c:v>
                </c:pt>
                <c:pt idx="50">
                  <c:v>372.4</c:v>
                </c:pt>
                <c:pt idx="51">
                  <c:v>403.8</c:v>
                </c:pt>
                <c:pt idx="52">
                  <c:v>410.0</c:v>
                </c:pt>
                <c:pt idx="53">
                  <c:v>394.2</c:v>
                </c:pt>
                <c:pt idx="54">
                  <c:v>419.2</c:v>
                </c:pt>
                <c:pt idx="55">
                  <c:v>473.2</c:v>
                </c:pt>
                <c:pt idx="56">
                  <c:v>464.6</c:v>
                </c:pt>
                <c:pt idx="57">
                  <c:v>513.0</c:v>
                </c:pt>
                <c:pt idx="58">
                  <c:v>563.0</c:v>
                </c:pt>
                <c:pt idx="59">
                  <c:v>567.4</c:v>
                </c:pt>
                <c:pt idx="60">
                  <c:v>569.8</c:v>
                </c:pt>
                <c:pt idx="61">
                  <c:v>572.8</c:v>
                </c:pt>
                <c:pt idx="62">
                  <c:v>566.2</c:v>
                </c:pt>
                <c:pt idx="63">
                  <c:v>568.8</c:v>
                </c:pt>
                <c:pt idx="64">
                  <c:v>556.0</c:v>
                </c:pt>
                <c:pt idx="65">
                  <c:v>534.8</c:v>
                </c:pt>
                <c:pt idx="66">
                  <c:v>548.0</c:v>
                </c:pt>
                <c:pt idx="67">
                  <c:v>524.6</c:v>
                </c:pt>
                <c:pt idx="68">
                  <c:v>522.0</c:v>
                </c:pt>
              </c:numCache>
            </c:numRef>
          </c:yVal>
          <c:smooth val="0"/>
        </c:ser>
        <c:ser>
          <c:idx val="1"/>
          <c:order val="1"/>
          <c:spPr>
            <a:ln w="15875">
              <a:solidFill>
                <a:schemeClr val="tx1"/>
              </a:solidFill>
              <a:prstDash val="dash"/>
            </a:ln>
          </c:spPr>
          <c:marker>
            <c:symbol val="none"/>
          </c:marker>
          <c:xVal>
            <c:numRef>
              <c:f>ontario_cts!$C$5:$C$73</c:f>
              <c:numCache>
                <c:formatCode>General</c:formatCode>
                <c:ptCount val="69"/>
                <c:pt idx="0">
                  <c:v>1942.0</c:v>
                </c:pt>
                <c:pt idx="1">
                  <c:v>1943.0</c:v>
                </c:pt>
                <c:pt idx="2">
                  <c:v>1944.0</c:v>
                </c:pt>
                <c:pt idx="3">
                  <c:v>1945.0</c:v>
                </c:pt>
                <c:pt idx="4">
                  <c:v>1946.0</c:v>
                </c:pt>
                <c:pt idx="5">
                  <c:v>1947.0</c:v>
                </c:pt>
                <c:pt idx="6">
                  <c:v>1948.0</c:v>
                </c:pt>
                <c:pt idx="7">
                  <c:v>1949.0</c:v>
                </c:pt>
                <c:pt idx="8">
                  <c:v>1950.0</c:v>
                </c:pt>
                <c:pt idx="9">
                  <c:v>1951.0</c:v>
                </c:pt>
                <c:pt idx="10">
                  <c:v>1952.0</c:v>
                </c:pt>
                <c:pt idx="11">
                  <c:v>1953.0</c:v>
                </c:pt>
                <c:pt idx="12">
                  <c:v>1954.0</c:v>
                </c:pt>
                <c:pt idx="13">
                  <c:v>1955.0</c:v>
                </c:pt>
                <c:pt idx="14">
                  <c:v>1956.0</c:v>
                </c:pt>
                <c:pt idx="15">
                  <c:v>1957.0</c:v>
                </c:pt>
                <c:pt idx="16">
                  <c:v>1958.0</c:v>
                </c:pt>
                <c:pt idx="17">
                  <c:v>1959.0</c:v>
                </c:pt>
                <c:pt idx="18">
                  <c:v>1960.0</c:v>
                </c:pt>
                <c:pt idx="19">
                  <c:v>1961.0</c:v>
                </c:pt>
                <c:pt idx="20">
                  <c:v>1962.0</c:v>
                </c:pt>
                <c:pt idx="21">
                  <c:v>1963.0</c:v>
                </c:pt>
                <c:pt idx="22">
                  <c:v>1964.0</c:v>
                </c:pt>
                <c:pt idx="23">
                  <c:v>1965.0</c:v>
                </c:pt>
                <c:pt idx="24">
                  <c:v>1966.0</c:v>
                </c:pt>
                <c:pt idx="25">
                  <c:v>1967.0</c:v>
                </c:pt>
                <c:pt idx="26">
                  <c:v>1968.0</c:v>
                </c:pt>
                <c:pt idx="27">
                  <c:v>1969.0</c:v>
                </c:pt>
                <c:pt idx="28">
                  <c:v>1970.0</c:v>
                </c:pt>
                <c:pt idx="29">
                  <c:v>1971.0</c:v>
                </c:pt>
                <c:pt idx="30">
                  <c:v>1972.0</c:v>
                </c:pt>
                <c:pt idx="31">
                  <c:v>1973.0</c:v>
                </c:pt>
                <c:pt idx="32">
                  <c:v>1974.0</c:v>
                </c:pt>
                <c:pt idx="33">
                  <c:v>1975.0</c:v>
                </c:pt>
                <c:pt idx="34">
                  <c:v>1976.0</c:v>
                </c:pt>
                <c:pt idx="35">
                  <c:v>1977.0</c:v>
                </c:pt>
                <c:pt idx="36">
                  <c:v>1978.0</c:v>
                </c:pt>
                <c:pt idx="37">
                  <c:v>1979.0</c:v>
                </c:pt>
                <c:pt idx="38">
                  <c:v>1980.0</c:v>
                </c:pt>
                <c:pt idx="39">
                  <c:v>1981.0</c:v>
                </c:pt>
                <c:pt idx="40">
                  <c:v>1982.0</c:v>
                </c:pt>
                <c:pt idx="41">
                  <c:v>1983.0</c:v>
                </c:pt>
                <c:pt idx="42">
                  <c:v>1984.0</c:v>
                </c:pt>
                <c:pt idx="43">
                  <c:v>1985.0</c:v>
                </c:pt>
                <c:pt idx="44">
                  <c:v>1986.0</c:v>
                </c:pt>
                <c:pt idx="45">
                  <c:v>1987.0</c:v>
                </c:pt>
                <c:pt idx="46">
                  <c:v>1988.0</c:v>
                </c:pt>
                <c:pt idx="47">
                  <c:v>1989.0</c:v>
                </c:pt>
                <c:pt idx="48">
                  <c:v>1990.0</c:v>
                </c:pt>
                <c:pt idx="49">
                  <c:v>1991.0</c:v>
                </c:pt>
                <c:pt idx="50">
                  <c:v>1992.0</c:v>
                </c:pt>
                <c:pt idx="51">
                  <c:v>1993.0</c:v>
                </c:pt>
                <c:pt idx="52">
                  <c:v>1994.0</c:v>
                </c:pt>
                <c:pt idx="53">
                  <c:v>1995.0</c:v>
                </c:pt>
                <c:pt idx="54">
                  <c:v>1996.0</c:v>
                </c:pt>
                <c:pt idx="55">
                  <c:v>1997.0</c:v>
                </c:pt>
                <c:pt idx="56">
                  <c:v>1998.0</c:v>
                </c:pt>
                <c:pt idx="57">
                  <c:v>1999.0</c:v>
                </c:pt>
                <c:pt idx="58">
                  <c:v>2000.0</c:v>
                </c:pt>
                <c:pt idx="59">
                  <c:v>2001.0</c:v>
                </c:pt>
                <c:pt idx="60">
                  <c:v>2002.0</c:v>
                </c:pt>
                <c:pt idx="61">
                  <c:v>2003.0</c:v>
                </c:pt>
                <c:pt idx="62">
                  <c:v>2004.0</c:v>
                </c:pt>
                <c:pt idx="63">
                  <c:v>2005.0</c:v>
                </c:pt>
                <c:pt idx="64">
                  <c:v>2006.0</c:v>
                </c:pt>
                <c:pt idx="65">
                  <c:v>2007.0</c:v>
                </c:pt>
                <c:pt idx="66">
                  <c:v>2008.0</c:v>
                </c:pt>
                <c:pt idx="67">
                  <c:v>2009.0</c:v>
                </c:pt>
                <c:pt idx="68">
                  <c:v>2010.0</c:v>
                </c:pt>
              </c:numCache>
            </c:numRef>
          </c:xVal>
          <c:yVal>
            <c:numRef>
              <c:f>ontario_cts!$F$5:$F$73</c:f>
              <c:numCache>
                <c:formatCode>0.0</c:formatCode>
                <c:ptCount val="69"/>
                <c:pt idx="0">
                  <c:v>543.6037497802991</c:v>
                </c:pt>
                <c:pt idx="1">
                  <c:v>544.2205431276245</c:v>
                </c:pt>
                <c:pt idx="2">
                  <c:v>531.001369850161</c:v>
                </c:pt>
                <c:pt idx="3">
                  <c:v>498.1392785595403</c:v>
                </c:pt>
                <c:pt idx="4">
                  <c:v>469.3232720084928</c:v>
                </c:pt>
                <c:pt idx="5">
                  <c:v>469.7023907929741</c:v>
                </c:pt>
                <c:pt idx="6">
                  <c:v>458.7270371216873</c:v>
                </c:pt>
                <c:pt idx="7">
                  <c:v>462.0801885171856</c:v>
                </c:pt>
                <c:pt idx="8">
                  <c:v>535.1220415147604</c:v>
                </c:pt>
                <c:pt idx="9">
                  <c:v>534.994922595033</c:v>
                </c:pt>
                <c:pt idx="10">
                  <c:v>523.871337615334</c:v>
                </c:pt>
                <c:pt idx="11">
                  <c:v>551.6221644626636</c:v>
                </c:pt>
                <c:pt idx="12">
                  <c:v>557.2474380002422</c:v>
                </c:pt>
                <c:pt idx="13">
                  <c:v>488.142415142696</c:v>
                </c:pt>
                <c:pt idx="14">
                  <c:v>557.4449367467727</c:v>
                </c:pt>
                <c:pt idx="15">
                  <c:v>580.887549427882</c:v>
                </c:pt>
                <c:pt idx="16">
                  <c:v>573.0035039603928</c:v>
                </c:pt>
                <c:pt idx="17">
                  <c:v>605.5034160765866</c:v>
                </c:pt>
                <c:pt idx="18">
                  <c:v>608.662704932338</c:v>
                </c:pt>
                <c:pt idx="19">
                  <c:v>567.6335912629795</c:v>
                </c:pt>
                <c:pt idx="20">
                  <c:v>575.1904575808313</c:v>
                </c:pt>
                <c:pt idx="21">
                  <c:v>566.7258293665264</c:v>
                </c:pt>
                <c:pt idx="22">
                  <c:v>505.3995073876683</c:v>
                </c:pt>
                <c:pt idx="23">
                  <c:v>504.6365075608473</c:v>
                </c:pt>
                <c:pt idx="24">
                  <c:v>523.6776764020146</c:v>
                </c:pt>
                <c:pt idx="25">
                  <c:v>481.0346816039423</c:v>
                </c:pt>
                <c:pt idx="26">
                  <c:v>497.9702818553613</c:v>
                </c:pt>
                <c:pt idx="27">
                  <c:v>546.7515241603147</c:v>
                </c:pt>
                <c:pt idx="28">
                  <c:v>539.2344855372475</c:v>
                </c:pt>
                <c:pt idx="29">
                  <c:v>540.0454232837164</c:v>
                </c:pt>
                <c:pt idx="30">
                  <c:v>550.8653412725232</c:v>
                </c:pt>
                <c:pt idx="31">
                  <c:v>554.5861342753812</c:v>
                </c:pt>
                <c:pt idx="32">
                  <c:v>512.3798821499433</c:v>
                </c:pt>
                <c:pt idx="33">
                  <c:v>510.9608584633341</c:v>
                </c:pt>
                <c:pt idx="34">
                  <c:v>529.9035210473895</c:v>
                </c:pt>
                <c:pt idx="35">
                  <c:v>529.9223042134408</c:v>
                </c:pt>
                <c:pt idx="36">
                  <c:v>532.3600441014197</c:v>
                </c:pt>
                <c:pt idx="37">
                  <c:v>528.8398406949185</c:v>
                </c:pt>
                <c:pt idx="38">
                  <c:v>516.2560466674211</c:v>
                </c:pt>
                <c:pt idx="39">
                  <c:v>468.4482063488292</c:v>
                </c:pt>
                <c:pt idx="40">
                  <c:v>488.3605134935511</c:v>
                </c:pt>
                <c:pt idx="41">
                  <c:v>453.2280282058373</c:v>
                </c:pt>
                <c:pt idx="42">
                  <c:v>445.8429655425583</c:v>
                </c:pt>
                <c:pt idx="43">
                  <c:v>509.3589473604103</c:v>
                </c:pt>
                <c:pt idx="44">
                  <c:v>518.7329510690796</c:v>
                </c:pt>
                <c:pt idx="45">
                  <c:v>514.059726868121</c:v>
                </c:pt>
                <c:pt idx="46">
                  <c:v>505.6357075891181</c:v>
                </c:pt>
                <c:pt idx="47">
                  <c:v>505.6357075891181</c:v>
                </c:pt>
                <c:pt idx="48">
                  <c:v>457.2282740566888</c:v>
                </c:pt>
                <c:pt idx="49">
                  <c:v>429.3894356372733</c:v>
                </c:pt>
                <c:pt idx="50">
                  <c:v>429.5510279872549</c:v>
                </c:pt>
                <c:pt idx="51">
                  <c:v>492.8985970708854</c:v>
                </c:pt>
                <c:pt idx="52">
                  <c:v>498.090862182181</c:v>
                </c:pt>
                <c:pt idx="53">
                  <c:v>481.6789117444884</c:v>
                </c:pt>
                <c:pt idx="54">
                  <c:v>518.1573645566617</c:v>
                </c:pt>
                <c:pt idx="55">
                  <c:v>545.5530234337168</c:v>
                </c:pt>
                <c:pt idx="56">
                  <c:v>530.6654221208038</c:v>
                </c:pt>
                <c:pt idx="57">
                  <c:v>603.8625335328044</c:v>
                </c:pt>
                <c:pt idx="58">
                  <c:v>622.6322060635023</c:v>
                </c:pt>
                <c:pt idx="59">
                  <c:v>623.8326146833547</c:v>
                </c:pt>
                <c:pt idx="60">
                  <c:v>625.2198520387776</c:v>
                </c:pt>
                <c:pt idx="61">
                  <c:v>624.5354810550747</c:v>
                </c:pt>
                <c:pt idx="62">
                  <c:v>608.9990654103568</c:v>
                </c:pt>
                <c:pt idx="63">
                  <c:v>614.8191264584627</c:v>
                </c:pt>
                <c:pt idx="64">
                  <c:v>616.5309838016863</c:v>
                </c:pt>
                <c:pt idx="65">
                  <c:v>610.1243652479064</c:v>
                </c:pt>
                <c:pt idx="66">
                  <c:v>624.1262109920098</c:v>
                </c:pt>
                <c:pt idx="67">
                  <c:v>593.5654986206873</c:v>
                </c:pt>
                <c:pt idx="68">
                  <c:v>587.118353787546</c:v>
                </c:pt>
              </c:numCache>
            </c:numRef>
          </c:yVal>
          <c:smooth val="0"/>
        </c:ser>
        <c:ser>
          <c:idx val="2"/>
          <c:order val="2"/>
          <c:spPr>
            <a:ln w="15875">
              <a:solidFill>
                <a:schemeClr val="tx1"/>
              </a:solidFill>
              <a:prstDash val="dash"/>
            </a:ln>
          </c:spPr>
          <c:marker>
            <c:symbol val="none"/>
          </c:marker>
          <c:xVal>
            <c:numRef>
              <c:f>ontario_cts!$C$5:$C$73</c:f>
              <c:numCache>
                <c:formatCode>General</c:formatCode>
                <c:ptCount val="69"/>
                <c:pt idx="0">
                  <c:v>1942.0</c:v>
                </c:pt>
                <c:pt idx="1">
                  <c:v>1943.0</c:v>
                </c:pt>
                <c:pt idx="2">
                  <c:v>1944.0</c:v>
                </c:pt>
                <c:pt idx="3">
                  <c:v>1945.0</c:v>
                </c:pt>
                <c:pt idx="4">
                  <c:v>1946.0</c:v>
                </c:pt>
                <c:pt idx="5">
                  <c:v>1947.0</c:v>
                </c:pt>
                <c:pt idx="6">
                  <c:v>1948.0</c:v>
                </c:pt>
                <c:pt idx="7">
                  <c:v>1949.0</c:v>
                </c:pt>
                <c:pt idx="8">
                  <c:v>1950.0</c:v>
                </c:pt>
                <c:pt idx="9">
                  <c:v>1951.0</c:v>
                </c:pt>
                <c:pt idx="10">
                  <c:v>1952.0</c:v>
                </c:pt>
                <c:pt idx="11">
                  <c:v>1953.0</c:v>
                </c:pt>
                <c:pt idx="12">
                  <c:v>1954.0</c:v>
                </c:pt>
                <c:pt idx="13">
                  <c:v>1955.0</c:v>
                </c:pt>
                <c:pt idx="14">
                  <c:v>1956.0</c:v>
                </c:pt>
                <c:pt idx="15">
                  <c:v>1957.0</c:v>
                </c:pt>
                <c:pt idx="16">
                  <c:v>1958.0</c:v>
                </c:pt>
                <c:pt idx="17">
                  <c:v>1959.0</c:v>
                </c:pt>
                <c:pt idx="18">
                  <c:v>1960.0</c:v>
                </c:pt>
                <c:pt idx="19">
                  <c:v>1961.0</c:v>
                </c:pt>
                <c:pt idx="20">
                  <c:v>1962.0</c:v>
                </c:pt>
                <c:pt idx="21">
                  <c:v>1963.0</c:v>
                </c:pt>
                <c:pt idx="22">
                  <c:v>1964.0</c:v>
                </c:pt>
                <c:pt idx="23">
                  <c:v>1965.0</c:v>
                </c:pt>
                <c:pt idx="24">
                  <c:v>1966.0</c:v>
                </c:pt>
                <c:pt idx="25">
                  <c:v>1967.0</c:v>
                </c:pt>
                <c:pt idx="26">
                  <c:v>1968.0</c:v>
                </c:pt>
                <c:pt idx="27">
                  <c:v>1969.0</c:v>
                </c:pt>
                <c:pt idx="28">
                  <c:v>1970.0</c:v>
                </c:pt>
                <c:pt idx="29">
                  <c:v>1971.0</c:v>
                </c:pt>
                <c:pt idx="30">
                  <c:v>1972.0</c:v>
                </c:pt>
                <c:pt idx="31">
                  <c:v>1973.0</c:v>
                </c:pt>
                <c:pt idx="32">
                  <c:v>1974.0</c:v>
                </c:pt>
                <c:pt idx="33">
                  <c:v>1975.0</c:v>
                </c:pt>
                <c:pt idx="34">
                  <c:v>1976.0</c:v>
                </c:pt>
                <c:pt idx="35">
                  <c:v>1977.0</c:v>
                </c:pt>
                <c:pt idx="36">
                  <c:v>1978.0</c:v>
                </c:pt>
                <c:pt idx="37">
                  <c:v>1979.0</c:v>
                </c:pt>
                <c:pt idx="38">
                  <c:v>1980.0</c:v>
                </c:pt>
                <c:pt idx="39">
                  <c:v>1981.0</c:v>
                </c:pt>
                <c:pt idx="40">
                  <c:v>1982.0</c:v>
                </c:pt>
                <c:pt idx="41">
                  <c:v>1983.0</c:v>
                </c:pt>
                <c:pt idx="42">
                  <c:v>1984.0</c:v>
                </c:pt>
                <c:pt idx="43">
                  <c:v>1985.0</c:v>
                </c:pt>
                <c:pt idx="44">
                  <c:v>1986.0</c:v>
                </c:pt>
                <c:pt idx="45">
                  <c:v>1987.0</c:v>
                </c:pt>
                <c:pt idx="46">
                  <c:v>1988.0</c:v>
                </c:pt>
                <c:pt idx="47">
                  <c:v>1989.0</c:v>
                </c:pt>
                <c:pt idx="48">
                  <c:v>1990.0</c:v>
                </c:pt>
                <c:pt idx="49">
                  <c:v>1991.0</c:v>
                </c:pt>
                <c:pt idx="50">
                  <c:v>1992.0</c:v>
                </c:pt>
                <c:pt idx="51">
                  <c:v>1993.0</c:v>
                </c:pt>
                <c:pt idx="52">
                  <c:v>1994.0</c:v>
                </c:pt>
                <c:pt idx="53">
                  <c:v>1995.0</c:v>
                </c:pt>
                <c:pt idx="54">
                  <c:v>1996.0</c:v>
                </c:pt>
                <c:pt idx="55">
                  <c:v>1997.0</c:v>
                </c:pt>
                <c:pt idx="56">
                  <c:v>1998.0</c:v>
                </c:pt>
                <c:pt idx="57">
                  <c:v>1999.0</c:v>
                </c:pt>
                <c:pt idx="58">
                  <c:v>2000.0</c:v>
                </c:pt>
                <c:pt idx="59">
                  <c:v>2001.0</c:v>
                </c:pt>
                <c:pt idx="60">
                  <c:v>2002.0</c:v>
                </c:pt>
                <c:pt idx="61">
                  <c:v>2003.0</c:v>
                </c:pt>
                <c:pt idx="62">
                  <c:v>2004.0</c:v>
                </c:pt>
                <c:pt idx="63">
                  <c:v>2005.0</c:v>
                </c:pt>
                <c:pt idx="64">
                  <c:v>2006.0</c:v>
                </c:pt>
                <c:pt idx="65">
                  <c:v>2007.0</c:v>
                </c:pt>
                <c:pt idx="66">
                  <c:v>2008.0</c:v>
                </c:pt>
                <c:pt idx="67">
                  <c:v>2009.0</c:v>
                </c:pt>
                <c:pt idx="68">
                  <c:v>2010.0</c:v>
                </c:pt>
              </c:numCache>
            </c:numRef>
          </c:xVal>
          <c:yVal>
            <c:numRef>
              <c:f>ontario_cts!$G$5:$G$73</c:f>
              <c:numCache>
                <c:formatCode>0.0</c:formatCode>
                <c:ptCount val="69"/>
                <c:pt idx="0">
                  <c:v>479.5962502197008</c:v>
                </c:pt>
                <c:pt idx="1">
                  <c:v>456.5794568723754</c:v>
                </c:pt>
                <c:pt idx="2">
                  <c:v>384.998630149839</c:v>
                </c:pt>
                <c:pt idx="3">
                  <c:v>382.2607214404597</c:v>
                </c:pt>
                <c:pt idx="4">
                  <c:v>373.4767279915069</c:v>
                </c:pt>
                <c:pt idx="5">
                  <c:v>373.4976092070258</c:v>
                </c:pt>
                <c:pt idx="6">
                  <c:v>343.6729628783126</c:v>
                </c:pt>
                <c:pt idx="7">
                  <c:v>368.7198114828142</c:v>
                </c:pt>
                <c:pt idx="8">
                  <c:v>354.0779584852396</c:v>
                </c:pt>
                <c:pt idx="9">
                  <c:v>353.8050774049671</c:v>
                </c:pt>
                <c:pt idx="10">
                  <c:v>342.1286623846661</c:v>
                </c:pt>
                <c:pt idx="11">
                  <c:v>389.1778355373363</c:v>
                </c:pt>
                <c:pt idx="12">
                  <c:v>407.952561999758</c:v>
                </c:pt>
                <c:pt idx="13">
                  <c:v>390.257584857304</c:v>
                </c:pt>
                <c:pt idx="14">
                  <c:v>398.9550632532273</c:v>
                </c:pt>
                <c:pt idx="15">
                  <c:v>432.3124505721181</c:v>
                </c:pt>
                <c:pt idx="16">
                  <c:v>424.5964960396074</c:v>
                </c:pt>
                <c:pt idx="17">
                  <c:v>444.4965839234135</c:v>
                </c:pt>
                <c:pt idx="18">
                  <c:v>432.5372950676621</c:v>
                </c:pt>
                <c:pt idx="19">
                  <c:v>365.1664087370204</c:v>
                </c:pt>
                <c:pt idx="20">
                  <c:v>365.6095424191688</c:v>
                </c:pt>
                <c:pt idx="21">
                  <c:v>356.4741706334737</c:v>
                </c:pt>
                <c:pt idx="22">
                  <c:v>343.0004926123317</c:v>
                </c:pt>
                <c:pt idx="23">
                  <c:v>336.9634924391527</c:v>
                </c:pt>
                <c:pt idx="24">
                  <c:v>376.3223235979852</c:v>
                </c:pt>
                <c:pt idx="25">
                  <c:v>382.9653183960576</c:v>
                </c:pt>
                <c:pt idx="26">
                  <c:v>387.6297181446388</c:v>
                </c:pt>
                <c:pt idx="27">
                  <c:v>404.0484758396851</c:v>
                </c:pt>
                <c:pt idx="28">
                  <c:v>470.7655144627525</c:v>
                </c:pt>
                <c:pt idx="29">
                  <c:v>473.9545767162833</c:v>
                </c:pt>
                <c:pt idx="30">
                  <c:v>416.7346587274768</c:v>
                </c:pt>
                <c:pt idx="31">
                  <c:v>419.0138657246189</c:v>
                </c:pt>
                <c:pt idx="32">
                  <c:v>373.2201178500566</c:v>
                </c:pt>
                <c:pt idx="33">
                  <c:v>373.0391415366659</c:v>
                </c:pt>
                <c:pt idx="34">
                  <c:v>373.6964789526105</c:v>
                </c:pt>
                <c:pt idx="35">
                  <c:v>386.877695786559</c:v>
                </c:pt>
                <c:pt idx="36">
                  <c:v>387.23995589858</c:v>
                </c:pt>
                <c:pt idx="37">
                  <c:v>418.3601593050813</c:v>
                </c:pt>
                <c:pt idx="38">
                  <c:v>377.7439533325789</c:v>
                </c:pt>
                <c:pt idx="39">
                  <c:v>355.5517936511707</c:v>
                </c:pt>
                <c:pt idx="40">
                  <c:v>366.839486506449</c:v>
                </c:pt>
                <c:pt idx="41">
                  <c:v>367.5719717941626</c:v>
                </c:pt>
                <c:pt idx="42">
                  <c:v>357.3570344574417</c:v>
                </c:pt>
                <c:pt idx="43">
                  <c:v>371.0410526395897</c:v>
                </c:pt>
                <c:pt idx="44">
                  <c:v>402.4670489309204</c:v>
                </c:pt>
                <c:pt idx="45">
                  <c:v>325.1402731318791</c:v>
                </c:pt>
                <c:pt idx="46">
                  <c:v>315.164292410882</c:v>
                </c:pt>
                <c:pt idx="47">
                  <c:v>315.164292410882</c:v>
                </c:pt>
                <c:pt idx="48">
                  <c:v>319.9717259433111</c:v>
                </c:pt>
                <c:pt idx="49">
                  <c:v>315.8105643627268</c:v>
                </c:pt>
                <c:pt idx="50">
                  <c:v>315.248972012745</c:v>
                </c:pt>
                <c:pt idx="51">
                  <c:v>314.7014029291145</c:v>
                </c:pt>
                <c:pt idx="52">
                  <c:v>321.909137817819</c:v>
                </c:pt>
                <c:pt idx="53">
                  <c:v>306.7210882555115</c:v>
                </c:pt>
                <c:pt idx="54">
                  <c:v>320.2426354433385</c:v>
                </c:pt>
                <c:pt idx="55">
                  <c:v>400.8469765662829</c:v>
                </c:pt>
                <c:pt idx="56">
                  <c:v>398.5345778791961</c:v>
                </c:pt>
                <c:pt idx="57">
                  <c:v>422.1374664671956</c:v>
                </c:pt>
                <c:pt idx="58">
                  <c:v>503.3677939364977</c:v>
                </c:pt>
                <c:pt idx="59">
                  <c:v>510.9673853166451</c:v>
                </c:pt>
                <c:pt idx="60">
                  <c:v>514.3801479612225</c:v>
                </c:pt>
                <c:pt idx="61">
                  <c:v>521.0645189449251</c:v>
                </c:pt>
                <c:pt idx="62">
                  <c:v>523.4009345896433</c:v>
                </c:pt>
                <c:pt idx="63">
                  <c:v>522.7808735415374</c:v>
                </c:pt>
                <c:pt idx="64">
                  <c:v>495.4690161983138</c:v>
                </c:pt>
                <c:pt idx="65">
                  <c:v>459.4756347520935</c:v>
                </c:pt>
                <c:pt idx="66">
                  <c:v>471.8737890079901</c:v>
                </c:pt>
                <c:pt idx="67">
                  <c:v>455.634501379313</c:v>
                </c:pt>
                <c:pt idx="68">
                  <c:v>456.881646212454</c:v>
                </c:pt>
              </c:numCache>
            </c:numRef>
          </c:yVal>
          <c:smooth val="0"/>
        </c:ser>
        <c:dLbls>
          <c:showLegendKey val="0"/>
          <c:showVal val="0"/>
          <c:showCatName val="0"/>
          <c:showSerName val="0"/>
          <c:showPercent val="0"/>
          <c:showBubbleSize val="0"/>
        </c:dLbls>
        <c:axId val="465938088"/>
        <c:axId val="465941016"/>
      </c:scatterChart>
      <c:valAx>
        <c:axId val="465938088"/>
        <c:scaling>
          <c:orientation val="minMax"/>
          <c:max val="2010.0"/>
          <c:min val="1950.0"/>
        </c:scaling>
        <c:delete val="0"/>
        <c:axPos val="b"/>
        <c:majorGridlines/>
        <c:numFmt formatCode="General" sourceLinked="1"/>
        <c:majorTickMark val="out"/>
        <c:minorTickMark val="none"/>
        <c:tickLblPos val="nextTo"/>
        <c:txPr>
          <a:bodyPr/>
          <a:lstStyle/>
          <a:p>
            <a:pPr>
              <a:defRPr sz="800"/>
            </a:pPr>
            <a:endParaRPr lang="en-US"/>
          </a:p>
        </c:txPr>
        <c:crossAx val="465941016"/>
        <c:crosses val="autoZero"/>
        <c:crossBetween val="midCat"/>
      </c:valAx>
      <c:valAx>
        <c:axId val="465941016"/>
        <c:scaling>
          <c:orientation val="minMax"/>
        </c:scaling>
        <c:delete val="0"/>
        <c:axPos val="l"/>
        <c:majorGridlines>
          <c:spPr>
            <a:ln>
              <a:noFill/>
            </a:ln>
          </c:spPr>
        </c:majorGridlines>
        <c:numFmt formatCode="0" sourceLinked="0"/>
        <c:majorTickMark val="out"/>
        <c:minorTickMark val="none"/>
        <c:tickLblPos val="nextTo"/>
        <c:txPr>
          <a:bodyPr/>
          <a:lstStyle/>
          <a:p>
            <a:pPr>
              <a:defRPr sz="800"/>
            </a:pPr>
            <a:endParaRPr lang="en-US"/>
          </a:p>
        </c:txPr>
        <c:crossAx val="46593808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27593-02DD-844E-9C96-8D9B1CF44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Pages>
  <Words>1177</Words>
  <Characters>6715</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AER, Inc.</Company>
  <LinksUpToDate>false</LinksUpToDate>
  <CharactersWithSpaces>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Furtado</dc:creator>
  <cp:lastModifiedBy>S. Mark Leidner</cp:lastModifiedBy>
  <cp:revision>22</cp:revision>
  <dcterms:created xsi:type="dcterms:W3CDTF">2014-06-11T15:41:00Z</dcterms:created>
  <dcterms:modified xsi:type="dcterms:W3CDTF">2014-06-11T16:52:00Z</dcterms:modified>
</cp:coreProperties>
</file>